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A767B"/>
          <w:sz w:val="25"/>
          <w:szCs w:val="25"/>
        </w:rPr>
        <w:t xml:space="preserve">Acme Specialty Chemicals Pvt. Ltd.</w:t>
      </w:r>
    </w:p>
    <w:p>
      <w:pPr>
        <w:spacing w:before="1361"/>
      </w:pPr>
      <w:r>
        <w:rPr>
          <w:sz w:val="2"/>
          <w:szCs w:val="2"/>
        </w:rPr>
        <w:t xml:space="preserve"> </w:t>
      </w:r>
    </w:p>
    <w:p>
      <w:pPr>
        <w:spacing w:after="140"/>
        <w:jc w:val="left"/>
      </w:pPr>
      <w:r>
        <w:rPr>
          <w:rFonts w:ascii="Arial" w:cs="Arial" w:eastAsia="Arial" w:hAnsi="Arial"/>
          <w:b/>
          <w:bCs/>
          <w:color w:val="24333A"/>
          <w:sz w:val="56"/>
          <w:szCs w:val="56"/>
        </w:rPr>
        <w:t xml:space="preserve">Sustainable Procurement Policy</w:t>
      </w:r>
    </w:p>
    <w:p>
      <w:pPr>
        <w:pBdr>
          <w:bottom w:val="single" w:color="3A4C56" w:sz="6" w:space="1"/>
        </w:pBdr>
        <w:spacing w:after="360"/>
      </w:pPr>
    </w:p>
    <w:p>
      <w:pPr>
        <w:spacing w:before="900"/>
      </w:pPr>
      <w:r>
        <w:rPr>
          <w:sz w:val="2"/>
          <w:szCs w:val="2"/>
        </w:rPr>
        <w:t xml:space="preserve"> </w:t>
      </w:r>
    </w:p>
    <w:p>
      <w:pPr>
        <w:pBdr>
          <w:top w:val="single" w:color="D8E0E3"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DOCUMENT NO.</w:t>
            </w:r>
          </w:p>
          <w:p>
            <w:pPr>
              <w:spacing w:after="180"/>
            </w:pPr>
            <w:r>
              <w:rPr>
                <w:rFonts w:ascii="Arial" w:cs="Arial" w:eastAsia="Arial" w:hAnsi="Arial"/>
                <w:color w:val="6A767B"/>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EFFECTIVE DATE</w:t>
            </w:r>
          </w:p>
          <w:p>
            <w:pPr>
              <w:spacing w:after="180"/>
            </w:pPr>
            <w:r>
              <w:rPr>
                <w:rFonts w:ascii="Arial" w:cs="Arial" w:eastAsia="Arial" w:hAnsi="Arial"/>
                <w:color w:val="6A767B"/>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REVISION</w:t>
            </w:r>
          </w:p>
          <w:p>
            <w:pPr>
              <w:spacing w:after="180"/>
            </w:pPr>
            <w:r>
              <w:rPr>
                <w:rFonts w:ascii="Arial" w:cs="Arial" w:eastAsia="Arial" w:hAnsi="Arial"/>
                <w:color w:val="6A767B"/>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NEXT REVIEW</w:t>
            </w:r>
          </w:p>
          <w:p>
            <w:pPr>
              <w:spacing w:after="180"/>
            </w:pPr>
            <w:r>
              <w:rPr>
                <w:rFonts w:ascii="Arial" w:cs="Arial" w:eastAsia="Arial" w:hAnsi="Arial"/>
                <w:color w:val="6A767B"/>
                <w:sz w:val="20"/>
                <w:szCs w:val="20"/>
              </w:rPr>
              <w:t xml:space="preserve">2027-01-14</w:t>
            </w:r>
          </w:p>
        </w:tc>
      </w:tr>
    </w:tbl>
    <w:p>
      <w:r>
        <w:br w:type="page"/>
      </w:r>
    </w:p>
    <w:p>
      <w:pPr>
        <w:pStyle w:val="PolicyHeading"/>
        <w:spacing w:after="360"/>
        <w:jc w:val="left"/>
      </w:pPr>
      <w:r>
        <w:t xml:space="preserve">Contents</w:t>
      </w:r>
    </w:p>
    <w:p>
      <w:pPr>
        <w:pBdr>
          <w:bottom w:val="dotted" w:color="D8E0E3" w:sz="3" w:space="1"/>
        </w:pBdr>
        <w:spacing w:after="95" w:before="60"/>
      </w:pPr>
      <w:hyperlink w:history="1" w:anchor="standard-preface">
        <w:r>
          <w:rPr>
            <w:rFonts w:ascii="Arial" w:cs="Arial" w:eastAsia="Arial" w:hAnsi="Arial"/>
            <w:b/>
            <w:bCs/>
            <w:color w:val="3A4C56"/>
            <w:sz w:val="20"/>
            <w:szCs w:val="20"/>
          </w:rPr>
          <w:t xml:space="preserve">01   </w:t>
        </w:r>
        <w:r>
          <w:rPr>
            <w:rFonts w:ascii="Arial" w:cs="Arial" w:eastAsia="Arial" w:hAnsi="Arial"/>
            <w:color w:val="24333A"/>
            <w:sz w:val="20"/>
            <w:szCs w:val="20"/>
          </w:rPr>
          <w:t xml:space="preserve">Preface</w:t>
        </w:r>
      </w:hyperlink>
    </w:p>
    <w:p>
      <w:pPr>
        <w:pBdr>
          <w:bottom w:val="dotted" w:color="D8E0E3" w:sz="3" w:space="1"/>
        </w:pBdr>
        <w:spacing w:after="95" w:before="60"/>
      </w:pPr>
      <w:hyperlink w:history="1" w:anchor="standard-declaration">
        <w:r>
          <w:rPr>
            <w:rFonts w:ascii="Arial" w:cs="Arial" w:eastAsia="Arial" w:hAnsi="Arial"/>
            <w:b/>
            <w:bCs/>
            <w:color w:val="3A4C56"/>
            <w:sz w:val="20"/>
            <w:szCs w:val="20"/>
          </w:rPr>
          <w:t xml:space="preserve">02   </w:t>
        </w:r>
        <w:r>
          <w:rPr>
            <w:rFonts w:ascii="Arial" w:cs="Arial" w:eastAsia="Arial" w:hAnsi="Arial"/>
            <w:color w:val="24333A"/>
            <w:sz w:val="20"/>
            <w:szCs w:val="20"/>
          </w:rPr>
          <w:t xml:space="preserve">Policy Declaration</w:t>
        </w:r>
      </w:hyperlink>
    </w:p>
    <w:p>
      <w:pPr>
        <w:pBdr>
          <w:bottom w:val="dotted" w:color="D8E0E3" w:sz="3" w:space="1"/>
        </w:pBdr>
        <w:spacing w:after="95" w:before="60"/>
      </w:pPr>
      <w:hyperlink w:history="1" w:anchor="standard-scope">
        <w:r>
          <w:rPr>
            <w:rFonts w:ascii="Arial" w:cs="Arial" w:eastAsia="Arial" w:hAnsi="Arial"/>
            <w:b/>
            <w:bCs/>
            <w:color w:val="3A4C56"/>
            <w:sz w:val="20"/>
            <w:szCs w:val="20"/>
          </w:rPr>
          <w:t xml:space="preserve">03   </w:t>
        </w:r>
        <w:r>
          <w:rPr>
            <w:rFonts w:ascii="Arial" w:cs="Arial" w:eastAsia="Arial" w:hAnsi="Arial"/>
            <w:color w:val="24333A"/>
            <w:sz w:val="20"/>
            <w:szCs w:val="20"/>
          </w:rPr>
          <w:t xml:space="preserve">Scope</w:t>
        </w:r>
      </w:hyperlink>
    </w:p>
    <w:p>
      <w:pPr>
        <w:pBdr>
          <w:bottom w:val="dotted" w:color="D8E0E3" w:sz="3" w:space="1"/>
        </w:pBdr>
        <w:spacing w:after="95" w:before="60"/>
      </w:pPr>
      <w:hyperlink w:history="1" w:anchor="standard-focus">
        <w:r>
          <w:rPr>
            <w:rFonts w:ascii="Arial" w:cs="Arial" w:eastAsia="Arial" w:hAnsi="Arial"/>
            <w:b/>
            <w:bCs/>
            <w:color w:val="3A4C56"/>
            <w:sz w:val="20"/>
            <w:szCs w:val="20"/>
          </w:rPr>
          <w:t xml:space="preserve">04   </w:t>
        </w:r>
        <w:r>
          <w:rPr>
            <w:rFonts w:ascii="Arial" w:cs="Arial" w:eastAsia="Arial" w:hAnsi="Arial"/>
            <w:color w:val="24333A"/>
            <w:sz w:val="20"/>
            <w:szCs w:val="20"/>
          </w:rPr>
          <w:t xml:space="preserve">Key Focus Areas</w:t>
        </w:r>
      </w:hyperlink>
    </w:p>
    <w:p>
      <w:pPr>
        <w:pBdr>
          <w:bottom w:val="dotted" w:color="D8E0E3" w:sz="3" w:space="1"/>
        </w:pBdr>
        <w:spacing w:after="95" w:before="60"/>
      </w:pPr>
      <w:hyperlink w:history="1" w:anchor="standard-qualitative">
        <w:r>
          <w:rPr>
            <w:rFonts w:ascii="Arial" w:cs="Arial" w:eastAsia="Arial" w:hAnsi="Arial"/>
            <w:b/>
            <w:bCs/>
            <w:color w:val="3A4C56"/>
            <w:sz w:val="20"/>
            <w:szCs w:val="20"/>
          </w:rPr>
          <w:t xml:space="preserve">05   </w:t>
        </w:r>
        <w:r>
          <w:rPr>
            <w:rFonts w:ascii="Arial" w:cs="Arial" w:eastAsia="Arial" w:hAnsi="Arial"/>
            <w:color w:val="24333A"/>
            <w:sz w:val="20"/>
            <w:szCs w:val="20"/>
          </w:rPr>
          <w:t xml:space="preserve">Qualitative Objectives</w:t>
        </w:r>
      </w:hyperlink>
    </w:p>
    <w:p>
      <w:pPr>
        <w:pBdr>
          <w:bottom w:val="dotted" w:color="D8E0E3" w:sz="3" w:space="1"/>
        </w:pBdr>
        <w:spacing w:after="95" w:before="60"/>
      </w:pPr>
      <w:hyperlink w:history="1" w:anchor="standard-quantitative">
        <w:r>
          <w:rPr>
            <w:rFonts w:ascii="Arial" w:cs="Arial" w:eastAsia="Arial" w:hAnsi="Arial"/>
            <w:b/>
            <w:bCs/>
            <w:color w:val="3A4C56"/>
            <w:sz w:val="20"/>
            <w:szCs w:val="20"/>
          </w:rPr>
          <w:t xml:space="preserve">06   </w:t>
        </w:r>
        <w:r>
          <w:rPr>
            <w:rFonts w:ascii="Arial" w:cs="Arial" w:eastAsia="Arial" w:hAnsi="Arial"/>
            <w:color w:val="24333A"/>
            <w:sz w:val="20"/>
            <w:szCs w:val="20"/>
          </w:rPr>
          <w:t xml:space="preserve">Quantitative Targets</w:t>
        </w:r>
      </w:hyperlink>
    </w:p>
    <w:p>
      <w:pPr>
        <w:pBdr>
          <w:bottom w:val="dotted" w:color="D8E0E3" w:sz="3" w:space="1"/>
        </w:pBdr>
        <w:spacing w:after="95" w:before="60"/>
      </w:pPr>
      <w:hyperlink w:history="1" w:anchor="standard-sdg">
        <w:r>
          <w:rPr>
            <w:rFonts w:ascii="Arial" w:cs="Arial" w:eastAsia="Arial" w:hAnsi="Arial"/>
            <w:b/>
            <w:bCs/>
            <w:color w:val="3A4C56"/>
            <w:sz w:val="20"/>
            <w:szCs w:val="20"/>
          </w:rPr>
          <w:t xml:space="preserve">07   </w:t>
        </w:r>
        <w:r>
          <w:rPr>
            <w:rFonts w:ascii="Arial" w:cs="Arial" w:eastAsia="Arial" w:hAnsi="Arial"/>
            <w:color w:val="24333A"/>
            <w:sz w:val="20"/>
            <w:szCs w:val="20"/>
          </w:rPr>
          <w:t xml:space="preserve">SDG Alignment</w:t>
        </w:r>
      </w:hyperlink>
    </w:p>
    <w:p>
      <w:pPr>
        <w:pBdr>
          <w:bottom w:val="dotted" w:color="D8E0E3" w:sz="3" w:space="1"/>
        </w:pBdr>
        <w:spacing w:after="95" w:before="60"/>
      </w:pPr>
      <w:hyperlink w:history="1" w:anchor="standard-responsibilities">
        <w:r>
          <w:rPr>
            <w:rFonts w:ascii="Arial" w:cs="Arial" w:eastAsia="Arial" w:hAnsi="Arial"/>
            <w:b/>
            <w:bCs/>
            <w:color w:val="3A4C56"/>
            <w:sz w:val="20"/>
            <w:szCs w:val="20"/>
          </w:rPr>
          <w:t xml:space="preserve">08   </w:t>
        </w:r>
        <w:r>
          <w:rPr>
            <w:rFonts w:ascii="Arial" w:cs="Arial" w:eastAsia="Arial" w:hAnsi="Arial"/>
            <w:color w:val="24333A"/>
            <w:sz w:val="20"/>
            <w:szCs w:val="20"/>
          </w:rPr>
          <w:t xml:space="preserve">Roles &amp; Responsibilities</w:t>
        </w:r>
      </w:hyperlink>
    </w:p>
    <w:p>
      <w:pPr>
        <w:pBdr>
          <w:bottom w:val="dotted" w:color="D8E0E3" w:sz="3" w:space="1"/>
        </w:pBdr>
        <w:spacing w:after="95" w:before="60"/>
      </w:pPr>
      <w:hyperlink w:history="1" w:anchor="standard-monitoring">
        <w:r>
          <w:rPr>
            <w:rFonts w:ascii="Arial" w:cs="Arial" w:eastAsia="Arial" w:hAnsi="Arial"/>
            <w:b/>
            <w:bCs/>
            <w:color w:val="3A4C56"/>
            <w:sz w:val="20"/>
            <w:szCs w:val="20"/>
          </w:rPr>
          <w:t xml:space="preserve">09   </w:t>
        </w:r>
        <w:r>
          <w:rPr>
            <w:rFonts w:ascii="Arial" w:cs="Arial" w:eastAsia="Arial" w:hAnsi="Arial"/>
            <w:color w:val="24333A"/>
            <w:sz w:val="20"/>
            <w:szCs w:val="20"/>
          </w:rPr>
          <w:t xml:space="preserve">Monitoring, Reporting &amp; Transparency</w:t>
        </w:r>
      </w:hyperlink>
    </w:p>
    <w:p>
      <w:pPr>
        <w:pBdr>
          <w:bottom w:val="dotted" w:color="D8E0E3" w:sz="3" w:space="1"/>
        </w:pBdr>
        <w:spacing w:after="95" w:before="60"/>
      </w:pPr>
      <w:hyperlink w:history="1" w:anchor="standard-review">
        <w:r>
          <w:rPr>
            <w:rFonts w:ascii="Arial" w:cs="Arial" w:eastAsia="Arial" w:hAnsi="Arial"/>
            <w:b/>
            <w:bCs/>
            <w:color w:val="3A4C56"/>
            <w:sz w:val="20"/>
            <w:szCs w:val="20"/>
          </w:rPr>
          <w:t xml:space="preserve">10   </w:t>
        </w:r>
        <w:r>
          <w:rPr>
            <w:rFonts w:ascii="Arial" w:cs="Arial" w:eastAsia="Arial" w:hAnsi="Arial"/>
            <w:color w:val="24333A"/>
            <w:sz w:val="20"/>
            <w:szCs w:val="20"/>
          </w:rPr>
          <w:t xml:space="preserve">Review Mechanism &amp; Continuous Improvement</w:t>
        </w:r>
      </w:hyperlink>
    </w:p>
    <w:p>
      <w:r>
        <w:br w:type="page"/>
      </w:r>
    </w:p>
    <w:p>
      <w:pPr>
        <w:pStyle w:val="PolicyHeading"/>
        <w:pBdr>
          <w:bottom w:val="single" w:color="3A4C56" w:sz="4" w:space="1"/>
        </w:pBdr>
        <w:spacing w:after="180" w:before="260"/>
        <w:jc w:val="left"/>
      </w:pPr>
      <w:bookmarkStart w:name="standard-preface" w:id="1"/>
      <w:bookmarkEnd w:id="1"/>
      <w:r>
        <w:rPr>
          <w:rFonts w:ascii="Arial" w:cs="Arial" w:eastAsia="Arial" w:hAnsi="Arial"/>
          <w:color w:val="6A767B"/>
          <w:sz w:val="20"/>
          <w:szCs w:val="20"/>
        </w:rPr>
        <w:t xml:space="preserve">01   </w:t>
      </w:r>
      <w:r>
        <w:rPr>
          <w:rFonts w:ascii="Arial" w:cs="Arial" w:eastAsia="Arial" w:hAnsi="Arial"/>
          <w:b/>
          <w:bCs/>
          <w:color w:val="24333A"/>
          <w:sz w:val="30"/>
          <w:szCs w:val="30"/>
        </w:rPr>
        <w:t xml:space="preserve">Preface</w:t>
      </w:r>
    </w:p>
    <w:p>
      <w:pPr>
        <w:pStyle w:val="PolicyBody"/>
        <w:spacing w:after="150" w:line="312"/>
        <w:jc w:val="both"/>
      </w:pPr>
      <w:r>
        <w:rPr>
          <w:rFonts w:ascii="Arial" w:cs="Arial" w:eastAsia="Arial" w:hAnsi="Arial"/>
          <w:sz w:val="20"/>
          <w:szCs w:val="20"/>
        </w:rPr>
        <w:t xml:space="preserve">Sustainable Procurement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A4C56" w:sz="4" w:space="1"/>
        </w:pBdr>
        <w:spacing w:after="180" w:before="260"/>
        <w:jc w:val="left"/>
      </w:pPr>
      <w:bookmarkStart w:name="standard-declaration" w:id="1"/>
      <w:bookmarkEnd w:id="1"/>
      <w:r>
        <w:rPr>
          <w:rFonts w:ascii="Arial" w:cs="Arial" w:eastAsia="Arial" w:hAnsi="Arial"/>
          <w:color w:val="6A767B"/>
          <w:sz w:val="20"/>
          <w:szCs w:val="20"/>
        </w:rPr>
        <w:t xml:space="preserve">02   </w:t>
      </w:r>
      <w:r>
        <w:rPr>
          <w:rFonts w:ascii="Arial" w:cs="Arial" w:eastAsia="Arial" w:hAnsi="Arial"/>
          <w:b/>
          <w:bCs/>
          <w:color w:val="24333A"/>
          <w:sz w:val="30"/>
          <w:szCs w:val="30"/>
        </w:rPr>
        <w:t xml:space="preserve">Policy Declaration</w:t>
      </w:r>
    </w:p>
    <w:p>
      <w:pPr>
        <w:pStyle w:val="PolicyBody"/>
        <w:spacing w:after="150" w:line="312"/>
        <w:jc w:val="both"/>
      </w:pPr>
      <w:r>
        <w:rPr>
          <w:rFonts w:ascii="Arial" w:cs="Arial" w:eastAsia="Arial" w:hAnsi="Arial"/>
          <w:sz w:val="20"/>
          <w:szCs w:val="20"/>
        </w:rPr>
        <w:t xml:space="preserve">Acme Specialty Chemicals affirms its commitment to implementing this Sustainable Procurement Policy in line with applicable requirements, proportionate controls, and regular management review.</w:t>
      </w:r>
    </w:p>
    <w:p>
      <w:pPr>
        <w:spacing w:before="140"/>
      </w:pPr>
      <w:r>
        <w:rPr>
          <w:sz w:val="2"/>
          <w:szCs w:val="2"/>
        </w:rPr>
        <w:t xml:space="preserve"> </w:t>
      </w:r>
    </w:p>
    <w:p>
      <w:pPr>
        <w:pStyle w:val="PolicyHeading"/>
        <w:pBdr>
          <w:bottom w:val="single" w:color="3A4C56" w:sz="4" w:space="1"/>
        </w:pBdr>
        <w:spacing w:after="180" w:before="260"/>
        <w:jc w:val="left"/>
      </w:pPr>
      <w:bookmarkStart w:name="standard-scope" w:id="1"/>
      <w:bookmarkEnd w:id="1"/>
      <w:r>
        <w:rPr>
          <w:rFonts w:ascii="Arial" w:cs="Arial" w:eastAsia="Arial" w:hAnsi="Arial"/>
          <w:color w:val="6A767B"/>
          <w:sz w:val="20"/>
          <w:szCs w:val="20"/>
        </w:rPr>
        <w:t xml:space="preserve">03   </w:t>
      </w:r>
      <w:r>
        <w:rPr>
          <w:rFonts w:ascii="Arial" w:cs="Arial" w:eastAsia="Arial" w:hAnsi="Arial"/>
          <w:b/>
          <w:bCs/>
          <w:color w:val="24333A"/>
          <w:sz w:val="30"/>
          <w:szCs w:val="30"/>
        </w:rPr>
        <w:t xml:space="preserve">Scope</w:t>
      </w:r>
    </w:p>
    <w:p>
      <w:pPr>
        <w:pStyle w:val="PolicyBody"/>
        <w:spacing w:after="150" w:line="312"/>
        <w:jc w:val="both"/>
      </w:pPr>
      <w:r>
        <w:rPr>
          <w:rFonts w:ascii="Arial" w:cs="Arial" w:eastAsia="Arial" w:hAnsi="Arial"/>
          <w:sz w:val="20"/>
          <w:szCs w:val="20"/>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Location / Unit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Address</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Primary Function</w:t>
            </w:r>
          </w:p>
        </w:tc>
      </w:tr>
      <w:tr>
        <w:trPr>
          <w:cantSplit/>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focus" w:id="1"/>
      <w:bookmarkEnd w:id="1"/>
      <w:r>
        <w:rPr>
          <w:rFonts w:ascii="Arial" w:cs="Arial" w:eastAsia="Arial" w:hAnsi="Arial"/>
          <w:color w:val="6A767B"/>
          <w:sz w:val="20"/>
          <w:szCs w:val="20"/>
        </w:rPr>
        <w:t xml:space="preserve">04   </w:t>
      </w:r>
      <w:r>
        <w:rPr>
          <w:rFonts w:ascii="Arial" w:cs="Arial" w:eastAsia="Arial" w:hAnsi="Arial"/>
          <w:b/>
          <w:bCs/>
          <w:color w:val="24333A"/>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01</w:t>
            </w:r>
            <w:r>
              <w:rPr>
                <w:rFonts w:ascii="Arial" w:cs="Arial" w:eastAsia="Arial" w:hAnsi="Arial"/>
                <w:b/>
                <w:bCs/>
                <w:color w:val="20282D"/>
                <w:sz w:val="24"/>
                <w:szCs w:val="24"/>
              </w:rPr>
              <w:t xml:space="preserve">  Supplier Code of Conduct &amp; Onboarding</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02</w:t>
            </w:r>
            <w:r>
              <w:rPr>
                <w:rFonts w:ascii="Arial" w:cs="Arial" w:eastAsia="Arial" w:hAnsi="Arial"/>
                <w:b/>
                <w:bCs/>
                <w:color w:val="20282D"/>
                <w:sz w:val="24"/>
                <w:szCs w:val="24"/>
              </w:rPr>
              <w:t xml:space="preserve">  Supplier Due Diligence &amp; Risk Assessment</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03</w:t>
            </w:r>
            <w:r>
              <w:rPr>
                <w:rFonts w:ascii="Arial" w:cs="Arial" w:eastAsia="Arial" w:hAnsi="Arial"/>
                <w:b/>
                <w:bCs/>
                <w:color w:val="20282D"/>
                <w:sz w:val="24"/>
                <w:szCs w:val="24"/>
              </w:rPr>
              <w:t xml:space="preserve">  Environmental Requirements for Suppliers</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04</w:t>
            </w:r>
            <w:r>
              <w:rPr>
                <w:rFonts w:ascii="Arial" w:cs="Arial" w:eastAsia="Arial" w:hAnsi="Arial"/>
                <w:b/>
                <w:bCs/>
                <w:color w:val="20282D"/>
                <w:sz w:val="24"/>
                <w:szCs w:val="24"/>
              </w:rPr>
              <w:t xml:space="preserve">  Ethical Sourcing &amp; Anti-Corruption</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05</w:t>
            </w:r>
            <w:r>
              <w:rPr>
                <w:rFonts w:ascii="Arial" w:cs="Arial" w:eastAsia="Arial" w:hAnsi="Arial"/>
                <w:b/>
                <w:bCs/>
                <w:color w:val="20282D"/>
                <w:sz w:val="24"/>
                <w:szCs w:val="24"/>
              </w:rPr>
              <w:t xml:space="preserve">  Labour &amp; Human Rights in Supply Chain</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r>
              <w:t xml:space="preserve"/>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qualitative" w:id="1"/>
      <w:bookmarkEnd w:id="1"/>
      <w:r>
        <w:rPr>
          <w:rFonts w:ascii="Arial" w:cs="Arial" w:eastAsia="Arial" w:hAnsi="Arial"/>
          <w:color w:val="6A767B"/>
          <w:sz w:val="20"/>
          <w:szCs w:val="20"/>
        </w:rPr>
        <w:t xml:space="preserve">05   </w:t>
      </w:r>
      <w:r>
        <w:rPr>
          <w:rFonts w:ascii="Arial" w:cs="Arial" w:eastAsia="Arial" w:hAnsi="Arial"/>
          <w:b/>
          <w:bCs/>
          <w:color w:val="24333A"/>
          <w:sz w:val="30"/>
          <w:szCs w:val="30"/>
        </w:rPr>
        <w:t xml:space="preserve">Qualitative Objectives</w:t>
      </w:r>
    </w:p>
    <w:p>
      <w:pPr>
        <w:spacing w:after="90"/>
      </w:pPr>
      <w:r>
        <w:rPr>
          <w:rFonts w:ascii="Arial" w:cs="Arial" w:eastAsia="Arial" w:hAnsi="Arial"/>
          <w:b/>
          <w:bCs/>
          <w:color w:val="3A4C56"/>
          <w:sz w:val="18"/>
          <w:szCs w:val="18"/>
        </w:rPr>
        <w:t xml:space="preserve">01  </w:t>
      </w:r>
      <w:r>
        <w:rPr>
          <w:rFonts w:ascii="Arial" w:cs="Arial" w:eastAsia="Arial" w:hAnsi="Arial"/>
          <w:b/>
          <w:bCs/>
          <w:color w:val="24333A"/>
          <w:sz w:val="24"/>
          <w:szCs w:val="24"/>
        </w:rPr>
        <w:t xml:space="preserve">Supplier Code of Conduct &amp; Onboarding</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supplier code of conduct &amp; onboarding.</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supplier code of conduct &amp; onboarding.</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Arial" w:cs="Arial" w:eastAsia="Arial" w:hAnsi="Arial"/>
          <w:b/>
          <w:bCs/>
          <w:color w:val="3A4C56"/>
          <w:sz w:val="18"/>
          <w:szCs w:val="18"/>
        </w:rPr>
        <w:t xml:space="preserve">02  </w:t>
      </w:r>
      <w:r>
        <w:rPr>
          <w:rFonts w:ascii="Arial" w:cs="Arial" w:eastAsia="Arial" w:hAnsi="Arial"/>
          <w:b/>
          <w:bCs/>
          <w:color w:val="24333A"/>
          <w:sz w:val="24"/>
          <w:szCs w:val="24"/>
        </w:rPr>
        <w:t xml:space="preserve">Supplier Due Diligence &amp; Risk Assessment</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supplier due diligence &amp; risk assessment.</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supplier due diligence &amp; risk assessment.</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Arial" w:cs="Arial" w:eastAsia="Arial" w:hAnsi="Arial"/>
          <w:b/>
          <w:bCs/>
          <w:color w:val="3A4C56"/>
          <w:sz w:val="18"/>
          <w:szCs w:val="18"/>
        </w:rPr>
        <w:t xml:space="preserve">03  </w:t>
      </w:r>
      <w:r>
        <w:rPr>
          <w:rFonts w:ascii="Arial" w:cs="Arial" w:eastAsia="Arial" w:hAnsi="Arial"/>
          <w:b/>
          <w:bCs/>
          <w:color w:val="24333A"/>
          <w:sz w:val="24"/>
          <w:szCs w:val="24"/>
        </w:rPr>
        <w:t xml:space="preserve">Environmental Requirements for Suppliers</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environmental requirements for suppliers.</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environmental requirements for suppliers.</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Arial" w:cs="Arial" w:eastAsia="Arial" w:hAnsi="Arial"/>
          <w:b/>
          <w:bCs/>
          <w:color w:val="3A4C56"/>
          <w:sz w:val="18"/>
          <w:szCs w:val="18"/>
        </w:rPr>
        <w:t xml:space="preserve">04  </w:t>
      </w:r>
      <w:r>
        <w:rPr>
          <w:rFonts w:ascii="Arial" w:cs="Arial" w:eastAsia="Arial" w:hAnsi="Arial"/>
          <w:b/>
          <w:bCs/>
          <w:color w:val="24333A"/>
          <w:sz w:val="24"/>
          <w:szCs w:val="24"/>
        </w:rPr>
        <w:t xml:space="preserve">Ethical Sourcing &amp; Anti-Corruption</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ethical sourcing &amp; anti-corruption.</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ethical sourcing &amp; anti-corruption.</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ethical sourcing &amp; anti-corruption.</w:t>
      </w:r>
    </w:p>
    <w:p>
      <w:pPr>
        <w:spacing w:before="70"/>
      </w:pPr>
      <w:r>
        <w:rPr>
          <w:sz w:val="2"/>
          <w:szCs w:val="2"/>
        </w:rPr>
        <w:t xml:space="preserve"> </w:t>
      </w:r>
    </w:p>
    <w:p>
      <w:pPr>
        <w:spacing w:after="90"/>
      </w:pPr>
      <w:r>
        <w:rPr>
          <w:rFonts w:ascii="Arial" w:cs="Arial" w:eastAsia="Arial" w:hAnsi="Arial"/>
          <w:b/>
          <w:bCs/>
          <w:color w:val="3A4C56"/>
          <w:sz w:val="18"/>
          <w:szCs w:val="18"/>
        </w:rPr>
        <w:t xml:space="preserve">05  </w:t>
      </w:r>
      <w:r>
        <w:rPr>
          <w:rFonts w:ascii="Arial" w:cs="Arial" w:eastAsia="Arial" w:hAnsi="Arial"/>
          <w:b/>
          <w:bCs/>
          <w:color w:val="24333A"/>
          <w:sz w:val="24"/>
          <w:szCs w:val="24"/>
        </w:rPr>
        <w:t xml:space="preserve">Labour &amp; Human Rights in Supply Chain</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labour &amp; human rights in supply chain.</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labour &amp; human rights in supply chain.</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labour &amp; human rights in supply chain.</w:t>
      </w:r>
    </w:p>
    <w:p>
      <w:pPr>
        <w:spacing w:before="70"/>
      </w:pPr>
      <w:r>
        <w:rPr>
          <w:sz w:val="2"/>
          <w:szCs w:val="2"/>
        </w:rPr>
        <w:t xml:space="preserve"> </w:t>
      </w:r>
    </w:p>
    <w:p>
      <w:pPr>
        <w:spacing w:before="140"/>
      </w:pPr>
      <w:r>
        <w:rPr>
          <w:sz w:val="2"/>
          <w:szCs w:val="2"/>
        </w:rPr>
        <w:t xml:space="preserve"> </w:t>
      </w:r>
    </w:p>
    <w:p>
      <w:pPr>
        <w:pStyle w:val="PolicyHeading"/>
        <w:pBdr>
          <w:bottom w:val="single" w:color="3A4C56" w:sz="4" w:space="1"/>
        </w:pBdr>
        <w:spacing w:after="180" w:before="260"/>
        <w:jc w:val="left"/>
      </w:pPr>
      <w:bookmarkStart w:name="standard-quantitative" w:id="1"/>
      <w:bookmarkEnd w:id="1"/>
      <w:r>
        <w:rPr>
          <w:rFonts w:ascii="Arial" w:cs="Arial" w:eastAsia="Arial" w:hAnsi="Arial"/>
          <w:color w:val="6A767B"/>
          <w:sz w:val="20"/>
          <w:szCs w:val="20"/>
        </w:rPr>
        <w:t xml:space="preserve">06   </w:t>
      </w:r>
      <w:r>
        <w:rPr>
          <w:rFonts w:ascii="Arial" w:cs="Arial" w:eastAsia="Arial" w:hAnsi="Arial"/>
          <w:b/>
          <w:bCs/>
          <w:color w:val="24333A"/>
          <w:sz w:val="30"/>
          <w:szCs w:val="30"/>
        </w:rPr>
        <w:t xml:space="preserve">Quantitative Targets</w:t>
      </w:r>
    </w:p>
    <w:p>
      <w:pPr>
        <w:spacing w:after="120"/>
      </w:pPr>
      <w:r>
        <w:rPr>
          <w:rFonts w:ascii="Arial" w:cs="Arial" w:eastAsia="Arial" w:hAnsi="Arial"/>
          <w:i/>
          <w:iCs/>
          <w:color w:val="6A76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Focus Area</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Baseline</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Deadline</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Reporting</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supplier code of conduct &amp; onboarding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supplier due diligence &amp; risk assessment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environmental requirements for suppliers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sdg" w:id="1"/>
      <w:bookmarkEnd w:id="1"/>
      <w:r>
        <w:rPr>
          <w:rFonts w:ascii="Arial" w:cs="Arial" w:eastAsia="Arial" w:hAnsi="Arial"/>
          <w:color w:val="6A767B"/>
          <w:sz w:val="20"/>
          <w:szCs w:val="20"/>
        </w:rPr>
        <w:t xml:space="preserve">07   </w:t>
      </w:r>
      <w:r>
        <w:rPr>
          <w:rFonts w:ascii="Arial" w:cs="Arial" w:eastAsia="Arial" w:hAnsi="Arial"/>
          <w:b/>
          <w:bCs/>
          <w:color w:val="24333A"/>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Arial" w:cs="Arial" w:eastAsia="Arial" w:hAnsi="Arial"/>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responsibilities" w:id="1"/>
      <w:bookmarkEnd w:id="1"/>
      <w:r>
        <w:rPr>
          <w:rFonts w:ascii="Arial" w:cs="Arial" w:eastAsia="Arial" w:hAnsi="Arial"/>
          <w:color w:val="6A767B"/>
          <w:sz w:val="20"/>
          <w:szCs w:val="20"/>
        </w:rPr>
        <w:t xml:space="preserve">08   </w:t>
      </w:r>
      <w:r>
        <w:rPr>
          <w:rFonts w:ascii="Arial" w:cs="Arial" w:eastAsia="Arial" w:hAnsi="Arial"/>
          <w:b/>
          <w:bCs/>
          <w:color w:val="24333A"/>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Role / Department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Responsibility</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Sustainability Team</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Suppliers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monitoring" w:id="1"/>
      <w:bookmarkEnd w:id="1"/>
      <w:r>
        <w:rPr>
          <w:rFonts w:ascii="Arial" w:cs="Arial" w:eastAsia="Arial" w:hAnsi="Arial"/>
          <w:color w:val="6A767B"/>
          <w:sz w:val="20"/>
          <w:szCs w:val="20"/>
        </w:rPr>
        <w:t xml:space="preserve">09   </w:t>
      </w:r>
      <w:r>
        <w:rPr>
          <w:rFonts w:ascii="Arial" w:cs="Arial" w:eastAsia="Arial" w:hAnsi="Arial"/>
          <w:b/>
          <w:bCs/>
          <w:color w:val="24333A"/>
          <w:sz w:val="30"/>
          <w:szCs w:val="30"/>
        </w:rPr>
        <w:t xml:space="preserve">Monitoring, Reporting &amp; Transparency</w:t>
      </w:r>
    </w:p>
    <w:p>
      <w:pPr>
        <w:pStyle w:val="PolicyBody"/>
        <w:spacing w:after="150" w:line="312"/>
        <w:jc w:val="both"/>
      </w:pPr>
      <w:r>
        <w:rPr>
          <w:rFonts w:ascii="Arial" w:cs="Arial" w:eastAsia="Arial" w:hAnsi="Arial"/>
          <w:sz w:val="20"/>
          <w:szCs w:val="20"/>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A4C56" w:sz="4" w:space="1"/>
        </w:pBdr>
        <w:spacing w:after="180" w:before="260"/>
        <w:jc w:val="left"/>
      </w:pPr>
      <w:bookmarkStart w:name="standard-review" w:id="1"/>
      <w:bookmarkEnd w:id="1"/>
      <w:r>
        <w:rPr>
          <w:rFonts w:ascii="Arial" w:cs="Arial" w:eastAsia="Arial" w:hAnsi="Arial"/>
          <w:color w:val="6A767B"/>
          <w:sz w:val="20"/>
          <w:szCs w:val="20"/>
        </w:rPr>
        <w:t xml:space="preserve">10   </w:t>
      </w:r>
      <w:r>
        <w:rPr>
          <w:rFonts w:ascii="Arial" w:cs="Arial" w:eastAsia="Arial" w:hAnsi="Arial"/>
          <w:b/>
          <w:bCs/>
          <w:color w:val="24333A"/>
          <w:sz w:val="30"/>
          <w:szCs w:val="30"/>
        </w:rPr>
        <w:t xml:space="preserve">Review Mechanism &amp; Continuous Improvement</w:t>
      </w:r>
    </w:p>
    <w:p>
      <w:pPr>
        <w:pStyle w:val="PolicyBody"/>
        <w:spacing w:after="150" w:line="312"/>
        <w:jc w:val="both"/>
      </w:pPr>
      <w:r>
        <w:rPr>
          <w:rFonts w:ascii="Arial" w:cs="Arial" w:eastAsia="Arial" w:hAnsi="Arial"/>
          <w:sz w:val="20"/>
          <w:szCs w:val="20"/>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24333A"/>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24333A"/>
          <w:sz w:val="36"/>
          <w:szCs w:val="36"/>
        </w:rPr>
        <w:t xml:space="preserve">Employee Acknowledgement Form</w:t>
      </w:r>
    </w:p>
    <w:p>
      <w:pPr>
        <w:spacing w:after="260" w:line="312"/>
        <w:jc w:val="both"/>
      </w:pPr>
      <w:r>
        <w:rPr>
          <w:rFonts w:ascii="Arial" w:cs="Arial" w:eastAsia="Arial" w:hAnsi="Arial"/>
          <w:sz w:val="20"/>
          <w:szCs w:val="20"/>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NAME</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ID</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DEPARTMENT</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DATE</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SIGNATURE</w:t>
            </w:r>
          </w:p>
          <w:p>
            <w:pPr>
              <w:pBdr>
                <w:bottom w:val="single" w:color="6A76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3" w:sz="5" w:space="1"/>
      </w:pBdr>
      <w:spacing w:before="80"/>
      <w:jc w:val="left"/>
    </w:pPr>
    <w:r>
      <w:rPr>
        <w:rFonts w:ascii="Arial" w:cs="Arial" w:eastAsia="Arial" w:hAnsi="Arial"/>
        <w:i w:val="false"/>
        <w:iCs w:val="false"/>
        <w:color w:val="6A767B"/>
        <w:sz w:val="14"/>
        <w:szCs w:val="14"/>
      </w:rPr>
      <w:t xml:space="preserve">Effective 2025-01-15   -   Revision 01   -   Page </w:t>
    </w:r>
    <w:r>
      <w:rPr>
        <w:rFonts w:ascii="Arial" w:cs="Arial" w:eastAsia="Arial" w:hAnsi="Arial"/>
        <w:color w:val="6A76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E0E3" w:sz="5" w:space="1"/>
      </w:pBdr>
      <w:spacing w:after="60"/>
      <w:jc w:val="left"/>
    </w:pPr>
    <w:r>
      <w:rPr>
        <w:rFonts w:ascii="Arial" w:cs="Arial" w:eastAsia="Arial" w:hAnsi="Arial"/>
        <w:b/>
        <w:bCs/>
        <w:color w:val="6A76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3A4C56"/>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3A4C5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Arial" w:cs="Arial" w:eastAsia="Arial" w:hAnsi="Arial"/>
      <w:b/>
      <w:bCs/>
      <w:color w:val="24333A"/>
      <w:sz w:val="30"/>
      <w:szCs w:val="30"/>
    </w:rPr>
  </w:style>
  <w:style w:type="paragraph" w:styleId="PolicyBody">
    <w:name w:val="Policy Body"/>
    <w:basedOn w:val="Normal"/>
    <w:next w:val="PolicyBody"/>
    <w:qFormat/>
    <w:pPr>
      <w:spacing w:after="150" w:line="312"/>
    </w:pPr>
    <w:rPr>
      <w:rFonts w:ascii="Arial" w:cs="Arial" w:eastAsia="Arial" w:hAnsi="Arial"/>
      <w:color w:val="20282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2026-09-08T05:39:50.825Z</dcterms:created>
  <dcterms:modified xsi:type="dcterms:W3CDTF">2026-09-08T05:39:50.825Z</dcterms:modified>
</cp:coreProperties>
</file>

<file path=docProps/custom.xml><?xml version="1.0" encoding="utf-8"?>
<Properties xmlns="http://schemas.openxmlformats.org/officeDocument/2006/custom-properties" xmlns:vt="http://schemas.openxmlformats.org/officeDocument/2006/docPropsVTypes"/>
</file>