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
        <w:jc w:val="center"/>
      </w:pPr>
      <w:r>
        <w:rPr>
          <w:rFonts w:ascii="Book Antiqua" w:cs="Book Antiqua" w:eastAsia="Book Antiqua" w:hAnsi="Book Antiqua"/>
          <w:color w:val="796B63"/>
          <w:sz w:val="25"/>
          <w:szCs w:val="25"/>
        </w:rPr>
        <w:t xml:space="preserve">International Sustainable Procurement and Responsible Operations Group Limited</w:t>
      </w:r>
    </w:p>
    <w:p>
      <w:pPr>
        <w:spacing w:before="2948"/>
      </w:pPr>
      <w:r>
        <w:rPr>
          <w:sz w:val="2"/>
          <w:szCs w:val="2"/>
        </w:rPr>
        <w:t xml:space="preserve"> </w:t>
      </w:r>
    </w:p>
    <w:p>
      <w:pPr>
        <w:spacing w:after="140"/>
        <w:jc w:val="center"/>
      </w:pPr>
      <w:r>
        <w:rPr>
          <w:rFonts w:ascii="Book Antiqua" w:cs="Book Antiqua" w:eastAsia="Book Antiqua" w:hAnsi="Book Antiqua"/>
          <w:b/>
          <w:bCs/>
          <w:color w:val="3C2B25"/>
          <w:sz w:val="68"/>
          <w:szCs w:val="68"/>
        </w:rPr>
        <w:t xml:space="preserve">Sustainable Procurement Policy</w:t>
      </w:r>
    </w:p>
    <w:p>
      <w:pPr>
        <w:spacing w:before="900"/>
      </w:pPr>
      <w:r>
        <w:rPr>
          <w:sz w:val="2"/>
          <w:szCs w:val="2"/>
        </w:rPr>
        <w:t xml:space="preserve"> </w:t>
      </w:r>
    </w:p>
    <w:p>
      <w:pPr>
        <w:pBdr>
          <w:top w:val="single" w:color="E2D5CE" w:sz="4" w:space="1"/>
        </w:pBdr>
        <w:spacing w:after="220"/>
      </w:pPr>
    </w:p>
    <w:tbl>
      <w:tblPr>
        <w:tblW w:type="dxa" w:w="8498"/>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4249"/>
        <w:gridCol w:w="4249"/>
      </w:tblGrid>
      <w:tr>
        <w:trPr>
          <w:cantSplit/>
        </w:trPr>
        <w:tc>
          <w:tcPr>
            <w:tcW w:type="dxa" w:w="4249"/>
            <w:tcMar>
              <w:top w:type="dxa" w:w="120"/>
              <w:left w:type="dxa" w:w="120"/>
              <w:bottom w:type="dxa" w:w="120"/>
              <w:right w:type="dxa" w:w="120"/>
            </w:tcMar>
            <w:vAlign w:val="center"/>
          </w:tcPr>
          <w:p>
            <w:pPr>
              <w:spacing w:after="80"/>
            </w:pPr>
            <w:r>
              <w:rPr>
                <w:rFonts w:ascii="Book Antiqua" w:cs="Book Antiqua" w:eastAsia="Book Antiqua" w:hAnsi="Book Antiqua"/>
                <w:color w:val="796B63"/>
                <w:sz w:val="15"/>
                <w:szCs w:val="15"/>
              </w:rPr>
              <w:t xml:space="preserve">DOCUMENT NO.</w:t>
            </w:r>
          </w:p>
          <w:p>
            <w:pPr>
              <w:spacing w:after="180"/>
            </w:pPr>
            <w:r>
              <w:rPr>
                <w:rFonts w:ascii="Book Antiqua" w:cs="Book Antiqua" w:eastAsia="Book Antiqua" w:hAnsi="Book Antiqua"/>
                <w:color w:val="796B63"/>
                <w:sz w:val="20"/>
                <w:szCs w:val="20"/>
              </w:rPr>
              <w:t xml:space="preserve">ASC-ENV-001</w:t>
            </w:r>
          </w:p>
        </w:tc>
        <w:tc>
          <w:tcPr>
            <w:tcW w:type="dxa" w:w="4249"/>
            <w:tcMar>
              <w:top w:type="dxa" w:w="120"/>
              <w:left w:type="dxa" w:w="120"/>
              <w:bottom w:type="dxa" w:w="120"/>
              <w:right w:type="dxa" w:w="120"/>
            </w:tcMar>
            <w:vAlign w:val="center"/>
          </w:tcPr>
          <w:p>
            <w:pPr>
              <w:spacing w:after="80"/>
            </w:pPr>
            <w:r>
              <w:rPr>
                <w:rFonts w:ascii="Book Antiqua" w:cs="Book Antiqua" w:eastAsia="Book Antiqua" w:hAnsi="Book Antiqua"/>
                <w:color w:val="796B63"/>
                <w:sz w:val="15"/>
                <w:szCs w:val="15"/>
              </w:rPr>
              <w:t xml:space="preserve">EFFECTIVE DATE</w:t>
            </w:r>
          </w:p>
          <w:p>
            <w:pPr>
              <w:spacing w:after="180"/>
            </w:pPr>
            <w:r>
              <w:rPr>
                <w:rFonts w:ascii="Book Antiqua" w:cs="Book Antiqua" w:eastAsia="Book Antiqua" w:hAnsi="Book Antiqua"/>
                <w:color w:val="796B63"/>
                <w:sz w:val="20"/>
                <w:szCs w:val="20"/>
              </w:rPr>
              <w:t xml:space="preserve">2025-01-15</w:t>
            </w:r>
          </w:p>
        </w:tc>
      </w:tr>
      <w:tr>
        <w:trPr>
          <w:cantSplit/>
        </w:trPr>
        <w:tc>
          <w:tcPr>
            <w:tcW w:type="dxa" w:w="4249"/>
            <w:tcMar>
              <w:top w:type="dxa" w:w="120"/>
              <w:left w:type="dxa" w:w="120"/>
              <w:bottom w:type="dxa" w:w="120"/>
              <w:right w:type="dxa" w:w="120"/>
            </w:tcMar>
            <w:vAlign w:val="center"/>
          </w:tcPr>
          <w:p>
            <w:pPr>
              <w:spacing w:after="80"/>
            </w:pPr>
            <w:r>
              <w:rPr>
                <w:rFonts w:ascii="Book Antiqua" w:cs="Book Antiqua" w:eastAsia="Book Antiqua" w:hAnsi="Book Antiqua"/>
                <w:color w:val="796B63"/>
                <w:sz w:val="15"/>
                <w:szCs w:val="15"/>
              </w:rPr>
              <w:t xml:space="preserve">REVISION</w:t>
            </w:r>
          </w:p>
          <w:p>
            <w:pPr>
              <w:spacing w:after="180"/>
            </w:pPr>
            <w:r>
              <w:rPr>
                <w:rFonts w:ascii="Book Antiqua" w:cs="Book Antiqua" w:eastAsia="Book Antiqua" w:hAnsi="Book Antiqua"/>
                <w:color w:val="796B63"/>
                <w:sz w:val="20"/>
                <w:szCs w:val="20"/>
              </w:rPr>
              <w:t xml:space="preserve">01</w:t>
            </w:r>
          </w:p>
        </w:tc>
        <w:tc>
          <w:tcPr>
            <w:tcW w:type="dxa" w:w="4249"/>
            <w:tcMar>
              <w:top w:type="dxa" w:w="120"/>
              <w:left w:type="dxa" w:w="120"/>
              <w:bottom w:type="dxa" w:w="120"/>
              <w:right w:type="dxa" w:w="120"/>
            </w:tcMar>
            <w:vAlign w:val="center"/>
          </w:tcPr>
          <w:p>
            <w:pPr>
              <w:spacing w:after="80"/>
            </w:pPr>
            <w:r>
              <w:rPr>
                <w:rFonts w:ascii="Book Antiqua" w:cs="Book Antiqua" w:eastAsia="Book Antiqua" w:hAnsi="Book Antiqua"/>
                <w:color w:val="796B63"/>
                <w:sz w:val="15"/>
                <w:szCs w:val="15"/>
              </w:rPr>
              <w:t xml:space="preserve">NEXT REVIEW</w:t>
            </w:r>
          </w:p>
          <w:p>
            <w:pPr>
              <w:spacing w:after="180"/>
            </w:pPr>
            <w:r>
              <w:rPr>
                <w:rFonts w:ascii="Book Antiqua" w:cs="Book Antiqua" w:eastAsia="Book Antiqua" w:hAnsi="Book Antiqua"/>
                <w:color w:val="796B63"/>
                <w:sz w:val="20"/>
                <w:szCs w:val="20"/>
              </w:rPr>
              <w:t xml:space="preserve">2027-01-14</w:t>
            </w:r>
          </w:p>
        </w:tc>
      </w:tr>
    </w:tbl>
    <w:p>
      <w:r>
        <w:br w:type="page"/>
      </w:r>
    </w:p>
    <w:p>
      <w:pPr>
        <w:pStyle w:val="PolicyHeading"/>
        <w:spacing w:after="360"/>
        <w:jc w:val="left"/>
      </w:pPr>
      <w:r>
        <w:t xml:space="preserve">Contents</w:t>
      </w:r>
    </w:p>
    <w:p>
      <w:pPr>
        <w:pBdr>
          <w:bottom w:val="dotted" w:color="E2D5CE" w:sz="3" w:space="1"/>
        </w:pBdr>
        <w:spacing w:after="95" w:before="60"/>
      </w:pPr>
      <w:hyperlink w:history="1" w:anchor="standard-preface">
        <w:r>
          <w:rPr>
            <w:rFonts w:ascii="Book Antiqua" w:cs="Book Antiqua" w:eastAsia="Book Antiqua" w:hAnsi="Book Antiqua"/>
            <w:b/>
            <w:bCs/>
            <w:color w:val="5E443A"/>
            <w:sz w:val="20"/>
            <w:szCs w:val="20"/>
          </w:rPr>
          <w:t xml:space="preserve">01   </w:t>
        </w:r>
        <w:r>
          <w:rPr>
            <w:rFonts w:ascii="Book Antiqua" w:cs="Book Antiqua" w:eastAsia="Book Antiqua" w:hAnsi="Book Antiqua"/>
            <w:color w:val="3C2B25"/>
            <w:sz w:val="20"/>
            <w:szCs w:val="20"/>
          </w:rPr>
          <w:t xml:space="preserve">Preface</w:t>
        </w:r>
      </w:hyperlink>
    </w:p>
    <w:p>
      <w:pPr>
        <w:pBdr>
          <w:bottom w:val="dotted" w:color="E2D5CE" w:sz="3" w:space="1"/>
        </w:pBdr>
        <w:spacing w:after="95" w:before="60"/>
      </w:pPr>
      <w:hyperlink w:history="1" w:anchor="standard-declaration">
        <w:r>
          <w:rPr>
            <w:rFonts w:ascii="Book Antiqua" w:cs="Book Antiqua" w:eastAsia="Book Antiqua" w:hAnsi="Book Antiqua"/>
            <w:b/>
            <w:bCs/>
            <w:color w:val="5E443A"/>
            <w:sz w:val="20"/>
            <w:szCs w:val="20"/>
          </w:rPr>
          <w:t xml:space="preserve">02   </w:t>
        </w:r>
        <w:r>
          <w:rPr>
            <w:rFonts w:ascii="Book Antiqua" w:cs="Book Antiqua" w:eastAsia="Book Antiqua" w:hAnsi="Book Antiqua"/>
            <w:color w:val="3C2B25"/>
            <w:sz w:val="20"/>
            <w:szCs w:val="20"/>
          </w:rPr>
          <w:t xml:space="preserve">Policy Declaration</w:t>
        </w:r>
      </w:hyperlink>
    </w:p>
    <w:p>
      <w:pPr>
        <w:pBdr>
          <w:bottom w:val="dotted" w:color="E2D5CE" w:sz="3" w:space="1"/>
        </w:pBdr>
        <w:spacing w:after="95" w:before="60"/>
      </w:pPr>
      <w:hyperlink w:history="1" w:anchor="standard-scope">
        <w:r>
          <w:rPr>
            <w:rFonts w:ascii="Book Antiqua" w:cs="Book Antiqua" w:eastAsia="Book Antiqua" w:hAnsi="Book Antiqua"/>
            <w:b/>
            <w:bCs/>
            <w:color w:val="5E443A"/>
            <w:sz w:val="20"/>
            <w:szCs w:val="20"/>
          </w:rPr>
          <w:t xml:space="preserve">03   </w:t>
        </w:r>
        <w:r>
          <w:rPr>
            <w:rFonts w:ascii="Book Antiqua" w:cs="Book Antiqua" w:eastAsia="Book Antiqua" w:hAnsi="Book Antiqua"/>
            <w:color w:val="3C2B25"/>
            <w:sz w:val="20"/>
            <w:szCs w:val="20"/>
          </w:rPr>
          <w:t xml:space="preserve">Scope</w:t>
        </w:r>
      </w:hyperlink>
    </w:p>
    <w:p>
      <w:pPr>
        <w:pBdr>
          <w:bottom w:val="dotted" w:color="E2D5CE" w:sz="3" w:space="1"/>
        </w:pBdr>
        <w:spacing w:after="95" w:before="60"/>
      </w:pPr>
      <w:hyperlink w:history="1" w:anchor="standard-focus">
        <w:r>
          <w:rPr>
            <w:rFonts w:ascii="Book Antiqua" w:cs="Book Antiqua" w:eastAsia="Book Antiqua" w:hAnsi="Book Antiqua"/>
            <w:b/>
            <w:bCs/>
            <w:color w:val="5E443A"/>
            <w:sz w:val="20"/>
            <w:szCs w:val="20"/>
          </w:rPr>
          <w:t xml:space="preserve">04   </w:t>
        </w:r>
        <w:r>
          <w:rPr>
            <w:rFonts w:ascii="Book Antiqua" w:cs="Book Antiqua" w:eastAsia="Book Antiqua" w:hAnsi="Book Antiqua"/>
            <w:color w:val="3C2B25"/>
            <w:sz w:val="20"/>
            <w:szCs w:val="20"/>
          </w:rPr>
          <w:t xml:space="preserve">Key Focus Areas</w:t>
        </w:r>
      </w:hyperlink>
    </w:p>
    <w:p>
      <w:pPr>
        <w:pBdr>
          <w:bottom w:val="dotted" w:color="E2D5CE" w:sz="3" w:space="1"/>
        </w:pBdr>
        <w:spacing w:after="95" w:before="60"/>
      </w:pPr>
      <w:hyperlink w:history="1" w:anchor="standard-qualitative">
        <w:r>
          <w:rPr>
            <w:rFonts w:ascii="Book Antiqua" w:cs="Book Antiqua" w:eastAsia="Book Antiqua" w:hAnsi="Book Antiqua"/>
            <w:b/>
            <w:bCs/>
            <w:color w:val="5E443A"/>
            <w:sz w:val="20"/>
            <w:szCs w:val="20"/>
          </w:rPr>
          <w:t xml:space="preserve">05   </w:t>
        </w:r>
        <w:r>
          <w:rPr>
            <w:rFonts w:ascii="Book Antiqua" w:cs="Book Antiqua" w:eastAsia="Book Antiqua" w:hAnsi="Book Antiqua"/>
            <w:color w:val="3C2B25"/>
            <w:sz w:val="20"/>
            <w:szCs w:val="20"/>
          </w:rPr>
          <w:t xml:space="preserve">Qualitative Objectives</w:t>
        </w:r>
      </w:hyperlink>
    </w:p>
    <w:p>
      <w:pPr>
        <w:pBdr>
          <w:bottom w:val="dotted" w:color="E2D5CE" w:sz="3" w:space="1"/>
        </w:pBdr>
        <w:spacing w:after="95" w:before="60"/>
      </w:pPr>
      <w:hyperlink w:history="1" w:anchor="standard-quantitative">
        <w:r>
          <w:rPr>
            <w:rFonts w:ascii="Book Antiqua" w:cs="Book Antiqua" w:eastAsia="Book Antiqua" w:hAnsi="Book Antiqua"/>
            <w:b/>
            <w:bCs/>
            <w:color w:val="5E443A"/>
            <w:sz w:val="20"/>
            <w:szCs w:val="20"/>
          </w:rPr>
          <w:t xml:space="preserve">06   </w:t>
        </w:r>
        <w:r>
          <w:rPr>
            <w:rFonts w:ascii="Book Antiqua" w:cs="Book Antiqua" w:eastAsia="Book Antiqua" w:hAnsi="Book Antiqua"/>
            <w:color w:val="3C2B25"/>
            <w:sz w:val="20"/>
            <w:szCs w:val="20"/>
          </w:rPr>
          <w:t xml:space="preserve">Quantitative Targets</w:t>
        </w:r>
      </w:hyperlink>
    </w:p>
    <w:p>
      <w:pPr>
        <w:pBdr>
          <w:bottom w:val="dotted" w:color="E2D5CE" w:sz="3" w:space="1"/>
        </w:pBdr>
        <w:spacing w:after="95" w:before="60"/>
      </w:pPr>
      <w:hyperlink w:history="1" w:anchor="standard-sdg">
        <w:r>
          <w:rPr>
            <w:rFonts w:ascii="Book Antiqua" w:cs="Book Antiqua" w:eastAsia="Book Antiqua" w:hAnsi="Book Antiqua"/>
            <w:b/>
            <w:bCs/>
            <w:color w:val="5E443A"/>
            <w:sz w:val="20"/>
            <w:szCs w:val="20"/>
          </w:rPr>
          <w:t xml:space="preserve">07   </w:t>
        </w:r>
        <w:r>
          <w:rPr>
            <w:rFonts w:ascii="Book Antiqua" w:cs="Book Antiqua" w:eastAsia="Book Antiqua" w:hAnsi="Book Antiqua"/>
            <w:color w:val="3C2B25"/>
            <w:sz w:val="20"/>
            <w:szCs w:val="20"/>
          </w:rPr>
          <w:t xml:space="preserve">SDG Alignment</w:t>
        </w:r>
      </w:hyperlink>
    </w:p>
    <w:p>
      <w:pPr>
        <w:pBdr>
          <w:bottom w:val="dotted" w:color="E2D5CE" w:sz="3" w:space="1"/>
        </w:pBdr>
        <w:spacing w:after="95" w:before="60"/>
      </w:pPr>
      <w:hyperlink w:history="1" w:anchor="standard-responsibilities">
        <w:r>
          <w:rPr>
            <w:rFonts w:ascii="Book Antiqua" w:cs="Book Antiqua" w:eastAsia="Book Antiqua" w:hAnsi="Book Antiqua"/>
            <w:b/>
            <w:bCs/>
            <w:color w:val="5E443A"/>
            <w:sz w:val="20"/>
            <w:szCs w:val="20"/>
          </w:rPr>
          <w:t xml:space="preserve">08   </w:t>
        </w:r>
        <w:r>
          <w:rPr>
            <w:rFonts w:ascii="Book Antiqua" w:cs="Book Antiqua" w:eastAsia="Book Antiqua" w:hAnsi="Book Antiqua"/>
            <w:color w:val="3C2B25"/>
            <w:sz w:val="20"/>
            <w:szCs w:val="20"/>
          </w:rPr>
          <w:t xml:space="preserve">Roles &amp; Responsibilities</w:t>
        </w:r>
      </w:hyperlink>
    </w:p>
    <w:p>
      <w:pPr>
        <w:pBdr>
          <w:bottom w:val="dotted" w:color="E2D5CE" w:sz="3" w:space="1"/>
        </w:pBdr>
        <w:spacing w:after="95" w:before="60"/>
      </w:pPr>
      <w:hyperlink w:history="1" w:anchor="standard-monitoring">
        <w:r>
          <w:rPr>
            <w:rFonts w:ascii="Book Antiqua" w:cs="Book Antiqua" w:eastAsia="Book Antiqua" w:hAnsi="Book Antiqua"/>
            <w:b/>
            <w:bCs/>
            <w:color w:val="5E443A"/>
            <w:sz w:val="20"/>
            <w:szCs w:val="20"/>
          </w:rPr>
          <w:t xml:space="preserve">09   </w:t>
        </w:r>
        <w:r>
          <w:rPr>
            <w:rFonts w:ascii="Book Antiqua" w:cs="Book Antiqua" w:eastAsia="Book Antiqua" w:hAnsi="Book Antiqua"/>
            <w:color w:val="3C2B25"/>
            <w:sz w:val="20"/>
            <w:szCs w:val="20"/>
          </w:rPr>
          <w:t xml:space="preserve">Monitoring, Reporting &amp; Transparency</w:t>
        </w:r>
      </w:hyperlink>
    </w:p>
    <w:p>
      <w:pPr>
        <w:pBdr>
          <w:bottom w:val="dotted" w:color="E2D5CE" w:sz="3" w:space="1"/>
        </w:pBdr>
        <w:spacing w:after="95" w:before="60"/>
      </w:pPr>
      <w:hyperlink w:history="1" w:anchor="standard-review">
        <w:r>
          <w:rPr>
            <w:rFonts w:ascii="Book Antiqua" w:cs="Book Antiqua" w:eastAsia="Book Antiqua" w:hAnsi="Book Antiqua"/>
            <w:b/>
            <w:bCs/>
            <w:color w:val="5E443A"/>
            <w:sz w:val="20"/>
            <w:szCs w:val="20"/>
          </w:rPr>
          <w:t xml:space="preserve">10   </w:t>
        </w:r>
        <w:r>
          <w:rPr>
            <w:rFonts w:ascii="Book Antiqua" w:cs="Book Antiqua" w:eastAsia="Book Antiqua" w:hAnsi="Book Antiqua"/>
            <w:color w:val="3C2B25"/>
            <w:sz w:val="20"/>
            <w:szCs w:val="20"/>
          </w:rPr>
          <w:t xml:space="preserve">Review Mechanism &amp; Continuous Improvement</w:t>
        </w:r>
      </w:hyperlink>
    </w:p>
    <w:p>
      <w:r>
        <w:br w:type="page"/>
      </w:r>
    </w:p>
    <w:p>
      <w:pPr>
        <w:pStyle w:val="PolicyHeading"/>
        <w:pBdr>
          <w:bottom w:val="single" w:color="5E443A" w:sz="4" w:space="1"/>
        </w:pBdr>
        <w:spacing w:after="180" w:before="260"/>
        <w:jc w:val="left"/>
      </w:pPr>
      <w:bookmarkStart w:name="standard-preface" w:id="1"/>
      <w:bookmarkEnd w:id="1"/>
      <w:r>
        <w:rPr>
          <w:rFonts w:ascii="Book Antiqua" w:cs="Book Antiqua" w:eastAsia="Book Antiqua" w:hAnsi="Book Antiqua"/>
          <w:color w:val="796B63"/>
          <w:sz w:val="20"/>
          <w:szCs w:val="20"/>
        </w:rPr>
        <w:t xml:space="preserve">01   </w:t>
      </w:r>
      <w:r>
        <w:rPr>
          <w:rFonts w:ascii="Book Antiqua" w:cs="Book Antiqua" w:eastAsia="Book Antiqua" w:hAnsi="Book Antiqua"/>
          <w:b/>
          <w:bCs/>
          <w:color w:val="3C2B25"/>
          <w:sz w:val="34"/>
          <w:szCs w:val="34"/>
        </w:rPr>
        <w:t xml:space="preserve">Preface</w:t>
      </w:r>
    </w:p>
    <w:p>
      <w:pPr>
        <w:pStyle w:val="PolicyBody"/>
        <w:spacing w:after="150" w:line="360"/>
        <w:jc w:val="both"/>
      </w:pPr>
      <w:r>
        <w:rPr>
          <w:rFonts w:ascii="Book Antiqua" w:cs="Book Antiqua" w:eastAsia="Book Antiqua" w:hAnsi="Book Antiqua"/>
          <w:b/>
          <w:bCs/>
          <w:color w:val="9B4E2D"/>
          <w:sz w:val="46"/>
          <w:szCs w:val="46"/>
        </w:rPr>
        <w:t xml:space="preserve">S</w:t>
      </w:r>
      <w:r>
        <w:rPr>
          <w:rFonts w:ascii="Book Antiqua" w:cs="Book Antiqua" w:eastAsia="Book Antiqua" w:hAnsi="Book Antiqua"/>
          <w:sz w:val="22"/>
          <w:szCs w:val="22"/>
        </w:rPr>
        <w:t xml:space="preserve">ustainable Procurement Policy provides a consistent framework for Acme Specialty Chemicals Pvt. Ltd. to define responsibilities, make decisions, and review performance across its activities and locations.</w:t>
      </w:r>
    </w:p>
    <w:p>
      <w:pPr>
        <w:pStyle w:val="PolicyBody"/>
        <w:spacing w:after="150" w:line="360"/>
        <w:jc w:val="both"/>
      </w:pPr>
      <w:r>
        <w:rPr>
          <w:rFonts w:ascii="Book Antiqua" w:cs="Book Antiqua" w:eastAsia="Book Antiqua" w:hAnsi="Book Antiqua"/>
          <w:sz w:val="22"/>
          <w:szCs w:val="22"/>
        </w:rPr>
        <w:t xml:space="preserve">Sustainable Procurement Policy provides a consistent framework for Acme Specialty Chemicals Pvt. Ltd. to define responsibilities, make decisions, and review performance across its activities and locations.</w:t>
      </w:r>
    </w:p>
    <w:p>
      <w:pPr>
        <w:pStyle w:val="PolicyBody"/>
        <w:spacing w:after="150" w:line="360"/>
        <w:jc w:val="both"/>
      </w:pPr>
      <w:r>
        <w:rPr>
          <w:rFonts w:ascii="Book Antiqua" w:cs="Book Antiqua" w:eastAsia="Book Antiqua" w:hAnsi="Book Antiqua"/>
          <w:sz w:val="22"/>
          <w:szCs w:val="22"/>
        </w:rPr>
        <w:t xml:space="preserve">Sustainable Procurement Policy provides a consistent framework for Acme Specialty Chemicals Pvt. Ltd. to define responsibilities, make decisions, and review performance across its activities and locations.</w:t>
      </w:r>
    </w:p>
    <w:p>
      <w:pPr>
        <w:pStyle w:val="PolicyBody"/>
        <w:spacing w:after="150" w:line="360"/>
        <w:jc w:val="both"/>
      </w:pPr>
      <w:r>
        <w:rPr>
          <w:rFonts w:ascii="Book Antiqua" w:cs="Book Antiqua" w:eastAsia="Book Antiqua" w:hAnsi="Book Antiqua"/>
          <w:sz w:val="22"/>
          <w:szCs w:val="22"/>
        </w:rPr>
        <w:t xml:space="preserve">Sustainable Procurement Policy provides a consistent framework for Acme Specialty Chemicals Pvt. Ltd. to define responsibilities, make decisions, and review performance across its activities and locations.</w:t>
      </w:r>
    </w:p>
    <w:p>
      <w:pPr>
        <w:pStyle w:val="PolicyBody"/>
        <w:spacing w:after="150" w:line="360"/>
        <w:jc w:val="both"/>
      </w:pPr>
      <w:r>
        <w:rPr>
          <w:rFonts w:ascii="Book Antiqua" w:cs="Book Antiqua" w:eastAsia="Book Antiqua" w:hAnsi="Book Antiqua"/>
          <w:sz w:val="22"/>
          <w:szCs w:val="22"/>
        </w:rPr>
        <w:t xml:space="preserve">Sustainable Procurement Policy provides a consistent framework for Acme Specialty Chemicals Pvt. Ltd. to define responsibilities, make decisions, and review performance across its activities and locations.</w:t>
      </w:r>
    </w:p>
    <w:p>
      <w:pPr>
        <w:pStyle w:val="PolicyBody"/>
        <w:spacing w:after="150" w:line="360"/>
        <w:jc w:val="both"/>
      </w:pPr>
      <w:r>
        <w:rPr>
          <w:rFonts w:ascii="Book Antiqua" w:cs="Book Antiqua" w:eastAsia="Book Antiqua" w:hAnsi="Book Antiqua"/>
          <w:sz w:val="22"/>
          <w:szCs w:val="22"/>
        </w:rPr>
        <w:t xml:space="preserve">Sustainable Procurement Policy provides a consistent framework for Acme Specialty Chemicals Pvt. Ltd. to define responsibilities, make decisions, and review performance across its activities and locations.</w:t>
      </w:r>
    </w:p>
    <w:p>
      <w:pPr>
        <w:pStyle w:val="PolicyBody"/>
        <w:spacing w:after="150" w:line="360"/>
        <w:jc w:val="both"/>
      </w:pPr>
      <w:r>
        <w:rPr>
          <w:rFonts w:ascii="Book Antiqua" w:cs="Book Antiqua" w:eastAsia="Book Antiqua" w:hAnsi="Book Antiqua"/>
          <w:sz w:val="22"/>
          <w:szCs w:val="22"/>
        </w:rPr>
        <w:t xml:space="preserve">Sustainable Procurement Policy provides a consistent framework for Acme Specialty Chemicals Pvt. Ltd. to define responsibilities, make decisions, and review performance across its activities and locations.</w:t>
      </w:r>
    </w:p>
    <w:p>
      <w:pPr>
        <w:pStyle w:val="PolicyBody"/>
        <w:spacing w:after="150" w:line="360"/>
        <w:jc w:val="both"/>
      </w:pPr>
      <w:r>
        <w:rPr>
          <w:rFonts w:ascii="Book Antiqua" w:cs="Book Antiqua" w:eastAsia="Book Antiqua" w:hAnsi="Book Antiqua"/>
          <w:sz w:val="22"/>
          <w:szCs w:val="22"/>
        </w:rPr>
        <w:t xml:space="preserve">Sustainable Procurement Policy provides a consistent framework for Acme Specialty Chemicals Pvt. Ltd. to define responsibilities, make decisions, and review performance across its activities and locations.</w:t>
      </w:r>
    </w:p>
    <w:p>
      <w:pPr>
        <w:spacing w:before="165"/>
      </w:pPr>
      <w:r>
        <w:rPr>
          <w:sz w:val="2"/>
          <w:szCs w:val="2"/>
        </w:rPr>
        <w:t xml:space="preserve"> </w:t>
      </w:r>
    </w:p>
    <w:p>
      <w:pPr>
        <w:pStyle w:val="PolicyHeading"/>
        <w:pBdr>
          <w:bottom w:val="single" w:color="5E443A" w:sz="4" w:space="1"/>
        </w:pBdr>
        <w:spacing w:after="180" w:before="260"/>
        <w:jc w:val="left"/>
      </w:pPr>
      <w:bookmarkStart w:name="standard-declaration" w:id="1"/>
      <w:bookmarkEnd w:id="1"/>
      <w:r>
        <w:rPr>
          <w:rFonts w:ascii="Book Antiqua" w:cs="Book Antiqua" w:eastAsia="Book Antiqua" w:hAnsi="Book Antiqua"/>
          <w:color w:val="796B63"/>
          <w:sz w:val="20"/>
          <w:szCs w:val="20"/>
        </w:rPr>
        <w:t xml:space="preserve">02   </w:t>
      </w:r>
      <w:r>
        <w:rPr>
          <w:rFonts w:ascii="Book Antiqua" w:cs="Book Antiqua" w:eastAsia="Book Antiqua" w:hAnsi="Book Antiqua"/>
          <w:b/>
          <w:bCs/>
          <w:color w:val="3C2B25"/>
          <w:sz w:val="34"/>
          <w:szCs w:val="34"/>
        </w:rPr>
        <w:t xml:space="preserve">Policy Declaration</w:t>
      </w:r>
    </w:p>
    <w:p>
      <w:pPr>
        <w:pStyle w:val="PolicyBody"/>
        <w:spacing w:after="150" w:line="360"/>
        <w:jc w:val="both"/>
      </w:pPr>
      <w:r>
        <w:rPr>
          <w:rFonts w:ascii="Book Antiqua" w:cs="Book Antiqua" w:eastAsia="Book Antiqua" w:hAnsi="Book Antiqua"/>
          <w:b/>
          <w:bCs/>
          <w:color w:val="9B4E2D"/>
          <w:sz w:val="46"/>
          <w:szCs w:val="46"/>
        </w:rPr>
        <w:t xml:space="preserve">A</w:t>
      </w:r>
      <w:r>
        <w:rPr>
          <w:rFonts w:ascii="Book Antiqua" w:cs="Book Antiqua" w:eastAsia="Book Antiqua" w:hAnsi="Book Antiqua"/>
          <w:sz w:val="22"/>
          <w:szCs w:val="22"/>
        </w:rPr>
        <w:t xml:space="preserve">cme Specialty Chemicals affirms its commitment to implementing this Sustainable Procurement Policy in line with applicable requirements, proportionate controls, and regular management review.</w:t>
      </w:r>
    </w:p>
    <w:p>
      <w:pPr>
        <w:spacing w:before="165"/>
      </w:pPr>
      <w:r>
        <w:rPr>
          <w:sz w:val="2"/>
          <w:szCs w:val="2"/>
        </w:rPr>
        <w:t xml:space="preserve"> </w:t>
      </w:r>
    </w:p>
    <w:p>
      <w:pPr>
        <w:pStyle w:val="PolicyHeading"/>
        <w:pBdr>
          <w:bottom w:val="single" w:color="5E443A" w:sz="4" w:space="1"/>
        </w:pBdr>
        <w:spacing w:after="180" w:before="260"/>
        <w:jc w:val="left"/>
      </w:pPr>
      <w:bookmarkStart w:name="standard-scope" w:id="1"/>
      <w:bookmarkEnd w:id="1"/>
      <w:r>
        <w:rPr>
          <w:rFonts w:ascii="Book Antiqua" w:cs="Book Antiqua" w:eastAsia="Book Antiqua" w:hAnsi="Book Antiqua"/>
          <w:color w:val="796B63"/>
          <w:sz w:val="20"/>
          <w:szCs w:val="20"/>
        </w:rPr>
        <w:t xml:space="preserve">03   </w:t>
      </w:r>
      <w:r>
        <w:rPr>
          <w:rFonts w:ascii="Book Antiqua" w:cs="Book Antiqua" w:eastAsia="Book Antiqua" w:hAnsi="Book Antiqua"/>
          <w:b/>
          <w:bCs/>
          <w:color w:val="3C2B25"/>
          <w:sz w:val="34"/>
          <w:szCs w:val="34"/>
        </w:rPr>
        <w:t xml:space="preserve">Scope</w:t>
      </w:r>
    </w:p>
    <w:p>
      <w:pPr>
        <w:pStyle w:val="PolicyBody"/>
        <w:spacing w:after="150" w:line="360"/>
        <w:jc w:val="both"/>
      </w:pPr>
      <w:r>
        <w:rPr>
          <w:rFonts w:ascii="Book Antiqua" w:cs="Book Antiqua" w:eastAsia="Book Antiqua" w:hAnsi="Book Antiqua"/>
          <w:b/>
          <w:bCs/>
          <w:color w:val="9B4E2D"/>
          <w:sz w:val="46"/>
          <w:szCs w:val="46"/>
        </w:rPr>
        <w:t xml:space="preserve">T</w:t>
      </w:r>
      <w:r>
        <w:rPr>
          <w:rFonts w:ascii="Book Antiqua" w:cs="Book Antiqua" w:eastAsia="Book Antiqua" w:hAnsi="Book Antiqua"/>
          <w:sz w:val="22"/>
          <w:szCs w:val="22"/>
        </w:rPr>
        <w:t xml:space="preserve">his Sustainable Procurement Policy applies to the operations, workers, business relationships, and locations identified by Acme Specialty Chemicals Pvt. Ltd., including manufacturing, R&amp;D, warehousing, logistics, and corporate functions.</w:t>
      </w:r>
    </w:p>
    <w:tbl>
      <w:tblPr>
        <w:tblW w:type="dxa" w:w="8498"/>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2058"/>
        <w:gridCol w:w="4289"/>
        <w:gridCol w:w="2151"/>
      </w:tblGrid>
      <w:tr>
        <w:trPr>
          <w:cantSplit/>
          <w:tblHeader/>
        </w:trPr>
        <w:tc>
          <w:tcPr>
            <w:tcW w:type="dxa" w:w="2058"/>
            <w:tcBorders>
              <w:top w:val="single" w:color="E2D5CE" w:sz="5" w:space="1"/>
              <w:left w:val="single" w:color="E2D5CE" w:sz="5" w:space="1"/>
              <w:bottom w:val="single" w:color="E2D5CE" w:sz="5" w:space="1"/>
              <w:right w:val="single" w:color="E2D5CE" w:sz="5" w:space="1"/>
            </w:tcBorders>
            <w:shd w:fill="5E443A" w:color="5E443A" w:val="solid"/>
            <w:tcMar>
              <w:top w:type="dxa" w:w="120"/>
              <w:left w:type="dxa" w:w="120"/>
              <w:bottom w:type="dxa" w:w="120"/>
              <w:right w:type="dxa" w:w="120"/>
            </w:tcMar>
            <w:vAlign w:val="center"/>
          </w:tcPr>
          <w:p>
            <w:r>
              <w:rPr>
                <w:b/>
                <w:bCs/>
                <w:color w:val="FFFFFF"/>
                <w:sz w:val="17"/>
                <w:szCs w:val="17"/>
              </w:rPr>
              <w:t xml:space="preserve">Location / Unit</w:t>
            </w:r>
          </w:p>
        </w:tc>
        <w:tc>
          <w:tcPr>
            <w:tcW w:type="dxa" w:w="4289"/>
            <w:tcBorders>
              <w:top w:val="single" w:color="E2D5CE" w:sz="5" w:space="1"/>
              <w:left w:val="single" w:color="E2D5CE" w:sz="5" w:space="1"/>
              <w:bottom w:val="single" w:color="E2D5CE" w:sz="5" w:space="1"/>
              <w:right w:val="single" w:color="E2D5CE" w:sz="5" w:space="1"/>
            </w:tcBorders>
            <w:shd w:fill="5E443A" w:color="5E443A" w:val="solid"/>
            <w:tcMar>
              <w:top w:type="dxa" w:w="120"/>
              <w:left w:type="dxa" w:w="120"/>
              <w:bottom w:type="dxa" w:w="120"/>
              <w:right w:type="dxa" w:w="120"/>
            </w:tcMar>
            <w:vAlign w:val="center"/>
          </w:tcPr>
          <w:p>
            <w:r>
              <w:rPr>
                <w:b/>
                <w:bCs/>
                <w:color w:val="FFFFFF"/>
                <w:sz w:val="17"/>
                <w:szCs w:val="17"/>
              </w:rPr>
              <w:t xml:space="preserve">Address</w:t>
            </w:r>
          </w:p>
        </w:tc>
        <w:tc>
          <w:tcPr>
            <w:tcW w:type="dxa" w:w="2151"/>
            <w:tcBorders>
              <w:top w:val="single" w:color="E2D5CE" w:sz="5" w:space="1"/>
              <w:left w:val="single" w:color="E2D5CE" w:sz="5" w:space="1"/>
              <w:bottom w:val="single" w:color="E2D5CE" w:sz="5" w:space="1"/>
              <w:right w:val="single" w:color="E2D5CE" w:sz="5" w:space="1"/>
            </w:tcBorders>
            <w:shd w:fill="5E443A" w:color="5E443A" w:val="solid"/>
            <w:tcMar>
              <w:top w:type="dxa" w:w="120"/>
              <w:left w:type="dxa" w:w="120"/>
              <w:bottom w:type="dxa" w:w="120"/>
              <w:right w:type="dxa" w:w="120"/>
            </w:tcMar>
            <w:vAlign w:val="center"/>
          </w:tcPr>
          <w:p>
            <w:r>
              <w:rPr>
                <w:b/>
                <w:bCs/>
                <w:color w:val="FFFFFF"/>
                <w:sz w:val="17"/>
                <w:szCs w:val="17"/>
              </w:rPr>
              <w:t xml:space="preserve">Primary Function</w:t>
            </w:r>
          </w:p>
        </w:tc>
      </w:tr>
      <w:tr>
        <w:trPr>
          <w:cantSplit/>
        </w:trPr>
        <w:tc>
          <w:tcPr>
            <w:tcW w:type="dxa" w:w="2058"/>
            <w:tcBorders>
              <w:top w:val="single" w:color="E2D5CE" w:sz="5" w:space="1"/>
              <w:left w:val="single" w:color="E2D5CE" w:sz="5" w:space="1"/>
              <w:bottom w:val="single" w:color="E2D5CE" w:sz="5" w:space="1"/>
              <w:right w:val="single" w:color="E2D5CE" w:sz="5" w:space="1"/>
            </w:tcBorders>
            <w:tcMar>
              <w:top w:type="dxa" w:w="120"/>
              <w:left w:type="dxa" w:w="120"/>
              <w:bottom w:type="dxa" w:w="120"/>
              <w:right w:type="dxa" w:w="120"/>
            </w:tcMar>
            <w:vAlign w:val="center"/>
          </w:tcPr>
          <w:p>
            <w:r>
              <w:rPr>
                <w:b/>
                <w:bCs/>
                <w:sz w:val="17"/>
                <w:szCs w:val="17"/>
              </w:rPr>
              <w:t xml:space="preserve">Manesar Plant</w:t>
            </w:r>
          </w:p>
        </w:tc>
        <w:tc>
          <w:tcPr>
            <w:tcW w:type="dxa" w:w="4289"/>
            <w:tcBorders>
              <w:top w:val="single" w:color="E2D5CE" w:sz="5" w:space="1"/>
              <w:left w:val="single" w:color="E2D5CE" w:sz="5" w:space="1"/>
              <w:bottom w:val="single" w:color="E2D5CE" w:sz="5" w:space="1"/>
              <w:right w:val="single" w:color="E2D5CE" w:sz="5" w:space="1"/>
            </w:tcBorders>
            <w:tcMar>
              <w:top w:type="dxa" w:w="120"/>
              <w:left w:type="dxa" w:w="120"/>
              <w:bottom w:type="dxa" w:w="120"/>
              <w:right w:type="dxa" w:w="120"/>
            </w:tcMar>
            <w:vAlign w:val="center"/>
          </w:tcPr>
          <w:p>
            <w:r>
              <w:rPr>
                <w:b w:val="false"/>
                <w:bCs w:val="false"/>
                <w:sz w:val="17"/>
                <w:szCs w:val="17"/>
              </w:rPr>
              <w:t xml:space="preserve">Plot 14, Sector 4, IMT Manesar, Gurugram - 122051, Haryana, India</w:t>
            </w:r>
          </w:p>
        </w:tc>
        <w:tc>
          <w:tcPr>
            <w:tcW w:type="dxa" w:w="2151"/>
            <w:tcBorders>
              <w:top w:val="single" w:color="E2D5CE" w:sz="5" w:space="1"/>
              <w:left w:val="single" w:color="E2D5CE" w:sz="5" w:space="1"/>
              <w:bottom w:val="single" w:color="E2D5CE" w:sz="5" w:space="1"/>
              <w:right w:val="single" w:color="E2D5CE" w:sz="5" w:space="1"/>
            </w:tcBorders>
            <w:tcMar>
              <w:top w:type="dxa" w:w="120"/>
              <w:left w:type="dxa" w:w="120"/>
              <w:bottom w:type="dxa" w:w="120"/>
              <w:right w:type="dxa" w:w="120"/>
            </w:tcMar>
            <w:vAlign w:val="center"/>
          </w:tcPr>
          <w:p>
            <w:r>
              <w:rPr>
                <w:b w:val="false"/>
                <w:bCs w:val="false"/>
                <w:sz w:val="17"/>
                <w:szCs w:val="17"/>
              </w:rPr>
              <w:t xml:space="preserve">Manufacturing &amp; R&amp;D</w:t>
            </w:r>
          </w:p>
        </w:tc>
      </w:tr>
    </w:tbl>
    <w:p>
      <w:pPr>
        <w:spacing w:before="165"/>
      </w:pPr>
      <w:r>
        <w:rPr>
          <w:sz w:val="2"/>
          <w:szCs w:val="2"/>
        </w:rPr>
        <w:t xml:space="preserve"> </w:t>
      </w:r>
    </w:p>
    <w:p>
      <w:pPr>
        <w:pStyle w:val="PolicyHeading"/>
        <w:pBdr>
          <w:bottom w:val="single" w:color="5E443A" w:sz="4" w:space="1"/>
        </w:pBdr>
        <w:spacing w:after="180" w:before="260"/>
        <w:jc w:val="left"/>
      </w:pPr>
      <w:bookmarkStart w:name="standard-focus" w:id="1"/>
      <w:bookmarkEnd w:id="1"/>
      <w:r>
        <w:rPr>
          <w:rFonts w:ascii="Book Antiqua" w:cs="Book Antiqua" w:eastAsia="Book Antiqua" w:hAnsi="Book Antiqua"/>
          <w:color w:val="796B63"/>
          <w:sz w:val="20"/>
          <w:szCs w:val="20"/>
        </w:rPr>
        <w:t xml:space="preserve">04   </w:t>
      </w:r>
      <w:r>
        <w:rPr>
          <w:rFonts w:ascii="Book Antiqua" w:cs="Book Antiqua" w:eastAsia="Book Antiqua" w:hAnsi="Book Antiqua"/>
          <w:b/>
          <w:bCs/>
          <w:color w:val="3C2B25"/>
          <w:sz w:val="34"/>
          <w:szCs w:val="34"/>
        </w:rPr>
        <w:t xml:space="preserve">Key Focus Areas</w:t>
      </w:r>
    </w:p>
    <w:tbl>
      <w:tblPr>
        <w:tblW w:type="dxa" w:w="8498"/>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900"/>
        <w:gridCol w:w="7598"/>
      </w:tblGrid>
      <w:tr>
        <w:trPr>
          <w:cantSplit/>
        </w:trPr>
        <w:tc>
          <w:tcPr>
            <w:tcW w:type="dxa" w:w="900"/>
            <w:tcBorders>
              <w:top w:val="single" w:color="E2D5CE" w:sz="5" w:space="1"/>
            </w:tcBorders>
            <w:tcMar>
              <w:top w:type="dxa" w:w="120"/>
              <w:left w:type="dxa" w:w="120"/>
              <w:bottom w:type="dxa" w:w="120"/>
              <w:right w:type="dxa" w:w="120"/>
            </w:tcMar>
            <w:vAlign w:val="center"/>
          </w:tcPr>
          <w:p>
            <w:pPr>
              <w:jc w:val="center"/>
            </w:pPr>
            <w:r>
              <w:rPr>
                <w:rFonts w:ascii="Georgia" w:cs="Georgia" w:eastAsia="Georgia" w:hAnsi="Georgia"/>
                <w:b w:val="false"/>
                <w:bCs w:val="false"/>
                <w:color w:val="2F6B61"/>
                <w:sz w:val="28"/>
                <w:szCs w:val="28"/>
              </w:rPr>
              <w:t xml:space="preserve">01</w:t>
            </w:r>
          </w:p>
        </w:tc>
        <w:tc>
          <w:tcPr>
            <w:tcW w:type="dxa" w:w="7598"/>
            <w:tcBorders>
              <w:top w:val="single" w:color="E2D5CE" w:sz="5" w:space="1"/>
            </w:tcBorders>
            <w:tcMar>
              <w:top w:type="dxa" w:w="120"/>
              <w:left w:type="dxa" w:w="120"/>
              <w:bottom w:type="dxa" w:w="120"/>
              <w:right w:type="dxa" w:w="120"/>
            </w:tcMar>
            <w:vAlign w:val="center"/>
          </w:tcPr>
          <w:p>
            <w:r>
              <w:rPr>
                <w:b w:val="false"/>
                <w:bCs w:val="false"/>
                <w:color w:val="2B221E"/>
                <w:sz w:val="20"/>
                <w:szCs w:val="20"/>
              </w:rPr>
              <w:t xml:space="preserve">Supplier Code of Conduct &amp; Onboarding</w:t>
            </w:r>
          </w:p>
        </w:tc>
      </w:tr>
    </w:tbl>
    <w:tbl>
      <w:tblPr>
        <w:tblW w:type="dxa" w:w="8498"/>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900"/>
        <w:gridCol w:w="7598"/>
      </w:tblGrid>
      <w:tr>
        <w:trPr>
          <w:cantSplit/>
        </w:trPr>
        <w:tc>
          <w:tcPr>
            <w:tcW w:type="dxa" w:w="900"/>
            <w:tcBorders>
              <w:top w:val="single" w:color="E2D5CE" w:sz="5" w:space="1"/>
            </w:tcBorders>
            <w:tcMar>
              <w:top w:type="dxa" w:w="120"/>
              <w:left w:type="dxa" w:w="120"/>
              <w:bottom w:type="dxa" w:w="120"/>
              <w:right w:type="dxa" w:w="120"/>
            </w:tcMar>
            <w:vAlign w:val="center"/>
          </w:tcPr>
          <w:p>
            <w:pPr>
              <w:jc w:val="center"/>
            </w:pPr>
            <w:r>
              <w:rPr>
                <w:rFonts w:ascii="Georgia" w:cs="Georgia" w:eastAsia="Georgia" w:hAnsi="Georgia"/>
                <w:b w:val="false"/>
                <w:bCs w:val="false"/>
                <w:color w:val="2F6B61"/>
                <w:sz w:val="28"/>
                <w:szCs w:val="28"/>
              </w:rPr>
              <w:t xml:space="preserve">02</w:t>
            </w:r>
          </w:p>
        </w:tc>
        <w:tc>
          <w:tcPr>
            <w:tcW w:type="dxa" w:w="7598"/>
            <w:tcBorders>
              <w:top w:val="single" w:color="E2D5CE" w:sz="5" w:space="1"/>
            </w:tcBorders>
            <w:tcMar>
              <w:top w:type="dxa" w:w="120"/>
              <w:left w:type="dxa" w:w="120"/>
              <w:bottom w:type="dxa" w:w="120"/>
              <w:right w:type="dxa" w:w="120"/>
            </w:tcMar>
            <w:vAlign w:val="center"/>
          </w:tcPr>
          <w:p>
            <w:r>
              <w:rPr>
                <w:b w:val="false"/>
                <w:bCs w:val="false"/>
                <w:color w:val="2B221E"/>
                <w:sz w:val="20"/>
                <w:szCs w:val="20"/>
              </w:rPr>
              <w:t xml:space="preserve">Supplier Due Diligence &amp; Risk Assessment</w:t>
            </w:r>
          </w:p>
        </w:tc>
      </w:tr>
    </w:tbl>
    <w:tbl>
      <w:tblPr>
        <w:tblW w:type="dxa" w:w="8498"/>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900"/>
        <w:gridCol w:w="7598"/>
      </w:tblGrid>
      <w:tr>
        <w:trPr>
          <w:cantSplit/>
        </w:trPr>
        <w:tc>
          <w:tcPr>
            <w:tcW w:type="dxa" w:w="900"/>
            <w:tcBorders>
              <w:top w:val="single" w:color="E2D5CE" w:sz="5" w:space="1"/>
            </w:tcBorders>
            <w:tcMar>
              <w:top w:type="dxa" w:w="120"/>
              <w:left w:type="dxa" w:w="120"/>
              <w:bottom w:type="dxa" w:w="120"/>
              <w:right w:type="dxa" w:w="120"/>
            </w:tcMar>
            <w:vAlign w:val="center"/>
          </w:tcPr>
          <w:p>
            <w:pPr>
              <w:jc w:val="center"/>
            </w:pPr>
            <w:r>
              <w:rPr>
                <w:rFonts w:ascii="Georgia" w:cs="Georgia" w:eastAsia="Georgia" w:hAnsi="Georgia"/>
                <w:b w:val="false"/>
                <w:bCs w:val="false"/>
                <w:color w:val="2F6B61"/>
                <w:sz w:val="28"/>
                <w:szCs w:val="28"/>
              </w:rPr>
              <w:t xml:space="preserve">03</w:t>
            </w:r>
          </w:p>
        </w:tc>
        <w:tc>
          <w:tcPr>
            <w:tcW w:type="dxa" w:w="7598"/>
            <w:tcBorders>
              <w:top w:val="single" w:color="E2D5CE" w:sz="5" w:space="1"/>
            </w:tcBorders>
            <w:tcMar>
              <w:top w:type="dxa" w:w="120"/>
              <w:left w:type="dxa" w:w="120"/>
              <w:bottom w:type="dxa" w:w="120"/>
              <w:right w:type="dxa" w:w="120"/>
            </w:tcMar>
            <w:vAlign w:val="center"/>
          </w:tcPr>
          <w:p>
            <w:r>
              <w:rPr>
                <w:b w:val="false"/>
                <w:bCs w:val="false"/>
                <w:color w:val="2B221E"/>
                <w:sz w:val="20"/>
                <w:szCs w:val="20"/>
              </w:rPr>
              <w:t xml:space="preserve">Environmental Requirements for Suppliers</w:t>
            </w:r>
          </w:p>
        </w:tc>
      </w:tr>
    </w:tbl>
    <w:tbl>
      <w:tblPr>
        <w:tblW w:type="dxa" w:w="8498"/>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900"/>
        <w:gridCol w:w="7598"/>
      </w:tblGrid>
      <w:tr>
        <w:trPr>
          <w:cantSplit/>
        </w:trPr>
        <w:tc>
          <w:tcPr>
            <w:tcW w:type="dxa" w:w="900"/>
            <w:tcBorders>
              <w:top w:val="single" w:color="E2D5CE" w:sz="5" w:space="1"/>
            </w:tcBorders>
            <w:tcMar>
              <w:top w:type="dxa" w:w="120"/>
              <w:left w:type="dxa" w:w="120"/>
              <w:bottom w:type="dxa" w:w="120"/>
              <w:right w:type="dxa" w:w="120"/>
            </w:tcMar>
            <w:vAlign w:val="center"/>
          </w:tcPr>
          <w:p>
            <w:pPr>
              <w:jc w:val="center"/>
            </w:pPr>
            <w:r>
              <w:rPr>
                <w:rFonts w:ascii="Georgia" w:cs="Georgia" w:eastAsia="Georgia" w:hAnsi="Georgia"/>
                <w:b w:val="false"/>
                <w:bCs w:val="false"/>
                <w:color w:val="2F6B61"/>
                <w:sz w:val="28"/>
                <w:szCs w:val="28"/>
              </w:rPr>
              <w:t xml:space="preserve">04</w:t>
            </w:r>
          </w:p>
        </w:tc>
        <w:tc>
          <w:tcPr>
            <w:tcW w:type="dxa" w:w="7598"/>
            <w:tcBorders>
              <w:top w:val="single" w:color="E2D5CE" w:sz="5" w:space="1"/>
            </w:tcBorders>
            <w:tcMar>
              <w:top w:type="dxa" w:w="120"/>
              <w:left w:type="dxa" w:w="120"/>
              <w:bottom w:type="dxa" w:w="120"/>
              <w:right w:type="dxa" w:w="120"/>
            </w:tcMar>
            <w:vAlign w:val="center"/>
          </w:tcPr>
          <w:p>
            <w:r>
              <w:rPr>
                <w:b w:val="false"/>
                <w:bCs w:val="false"/>
                <w:color w:val="2B221E"/>
                <w:sz w:val="20"/>
                <w:szCs w:val="20"/>
              </w:rPr>
              <w:t xml:space="preserve">Ethical Sourcing &amp; Anti-Corruption</w:t>
            </w:r>
          </w:p>
        </w:tc>
      </w:tr>
    </w:tbl>
    <w:tbl>
      <w:tblPr>
        <w:tblW w:type="dxa" w:w="8498"/>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900"/>
        <w:gridCol w:w="7598"/>
      </w:tblGrid>
      <w:tr>
        <w:trPr>
          <w:cantSplit/>
        </w:trPr>
        <w:tc>
          <w:tcPr>
            <w:tcW w:type="dxa" w:w="900"/>
            <w:tcBorders>
              <w:top w:val="single" w:color="E2D5CE" w:sz="5" w:space="1"/>
            </w:tcBorders>
            <w:tcMar>
              <w:top w:type="dxa" w:w="120"/>
              <w:left w:type="dxa" w:w="120"/>
              <w:bottom w:type="dxa" w:w="120"/>
              <w:right w:type="dxa" w:w="120"/>
            </w:tcMar>
            <w:vAlign w:val="center"/>
          </w:tcPr>
          <w:p>
            <w:pPr>
              <w:jc w:val="center"/>
            </w:pPr>
            <w:r>
              <w:rPr>
                <w:rFonts w:ascii="Georgia" w:cs="Georgia" w:eastAsia="Georgia" w:hAnsi="Georgia"/>
                <w:b w:val="false"/>
                <w:bCs w:val="false"/>
                <w:color w:val="2F6B61"/>
                <w:sz w:val="28"/>
                <w:szCs w:val="28"/>
              </w:rPr>
              <w:t xml:space="preserve">05</w:t>
            </w:r>
          </w:p>
        </w:tc>
        <w:tc>
          <w:tcPr>
            <w:tcW w:type="dxa" w:w="7598"/>
            <w:tcBorders>
              <w:top w:val="single" w:color="E2D5CE" w:sz="5" w:space="1"/>
            </w:tcBorders>
            <w:tcMar>
              <w:top w:type="dxa" w:w="120"/>
              <w:left w:type="dxa" w:w="120"/>
              <w:bottom w:type="dxa" w:w="120"/>
              <w:right w:type="dxa" w:w="120"/>
            </w:tcMar>
            <w:vAlign w:val="center"/>
          </w:tcPr>
          <w:p>
            <w:r>
              <w:rPr>
                <w:b w:val="false"/>
                <w:bCs w:val="false"/>
                <w:color w:val="2B221E"/>
                <w:sz w:val="20"/>
                <w:szCs w:val="20"/>
              </w:rPr>
              <w:t xml:space="preserve">Labour &amp; Human Rights in Supply Chain</w:t>
            </w:r>
          </w:p>
        </w:tc>
      </w:tr>
    </w:tbl>
    <w:p>
      <w:pPr>
        <w:spacing w:before="165"/>
      </w:pPr>
      <w:r>
        <w:rPr>
          <w:sz w:val="2"/>
          <w:szCs w:val="2"/>
        </w:rPr>
        <w:t xml:space="preserve"> </w:t>
      </w:r>
    </w:p>
    <w:p>
      <w:pPr>
        <w:pStyle w:val="PolicyHeading"/>
        <w:pBdr>
          <w:bottom w:val="single" w:color="5E443A" w:sz="4" w:space="1"/>
        </w:pBdr>
        <w:spacing w:after="180" w:before="260"/>
        <w:jc w:val="left"/>
      </w:pPr>
      <w:bookmarkStart w:name="standard-qualitative" w:id="1"/>
      <w:bookmarkEnd w:id="1"/>
      <w:r>
        <w:rPr>
          <w:rFonts w:ascii="Book Antiqua" w:cs="Book Antiqua" w:eastAsia="Book Antiqua" w:hAnsi="Book Antiqua"/>
          <w:color w:val="796B63"/>
          <w:sz w:val="20"/>
          <w:szCs w:val="20"/>
        </w:rPr>
        <w:t xml:space="preserve">05   </w:t>
      </w:r>
      <w:r>
        <w:rPr>
          <w:rFonts w:ascii="Book Antiqua" w:cs="Book Antiqua" w:eastAsia="Book Antiqua" w:hAnsi="Book Antiqua"/>
          <w:b/>
          <w:bCs/>
          <w:color w:val="3C2B25"/>
          <w:sz w:val="34"/>
          <w:szCs w:val="34"/>
        </w:rPr>
        <w:t xml:space="preserve">Qualitative Objectives</w:t>
      </w:r>
    </w:p>
    <w:p>
      <w:pPr>
        <w:spacing w:after="90"/>
      </w:pPr>
      <w:r>
        <w:rPr>
          <w:rFonts w:ascii="Book Antiqua" w:cs="Book Antiqua" w:eastAsia="Book Antiqua" w:hAnsi="Book Antiqua"/>
          <w:b/>
          <w:bCs/>
          <w:color w:val="5E443A"/>
          <w:sz w:val="18"/>
          <w:szCs w:val="18"/>
        </w:rPr>
        <w:t xml:space="preserve">01  </w:t>
      </w:r>
      <w:r>
        <w:rPr>
          <w:rFonts w:ascii="Book Antiqua" w:cs="Book Antiqua" w:eastAsia="Book Antiqua" w:hAnsi="Book Antiqua"/>
          <w:b/>
          <w:bCs/>
          <w:color w:val="3C2B25"/>
          <w:sz w:val="26"/>
          <w:szCs w:val="26"/>
        </w:rPr>
        <w:t xml:space="preserve">Supplier Code of Conduct &amp; Onboarding</w:t>
      </w:r>
    </w:p>
    <w:p>
      <w:pPr>
        <w:pStyle w:val="PolicyBody"/>
        <w:numPr>
          <w:ilvl w:val="0"/>
          <w:numId w:val="2"/>
        </w:numPr>
        <w:spacing w:after="90" w:line="360"/>
      </w:pPr>
      <w:r>
        <w:rPr>
          <w:rFonts w:ascii="Book Antiqua" w:cs="Book Antiqua" w:eastAsia="Book Antiqua" w:hAnsi="Book Antiqua"/>
          <w:color w:val="2B221E"/>
          <w:sz w:val="22"/>
          <w:szCs w:val="22"/>
        </w:rPr>
        <w:t xml:space="preserve">Assign accountable ownership and approved procedures for supplier code of conduct &amp; onboarding.</w:t>
      </w:r>
    </w:p>
    <w:p>
      <w:pPr>
        <w:pStyle w:val="PolicyBody"/>
        <w:numPr>
          <w:ilvl w:val="0"/>
          <w:numId w:val="2"/>
        </w:numPr>
        <w:spacing w:after="90" w:line="360"/>
      </w:pPr>
      <w:r>
        <w:rPr>
          <w:rFonts w:ascii="Book Antiqua" w:cs="Book Antiqua" w:eastAsia="Book Antiqua" w:hAnsi="Book Antiqua"/>
          <w:color w:val="2B221E"/>
          <w:sz w:val="22"/>
          <w:szCs w:val="22"/>
        </w:rPr>
        <w:t xml:space="preserve">Identify material risks and improvement opportunities related to supplier code of conduct &amp; onboarding.</w:t>
      </w:r>
    </w:p>
    <w:p>
      <w:pPr>
        <w:pStyle w:val="PolicyBody"/>
        <w:numPr>
          <w:ilvl w:val="0"/>
          <w:numId w:val="2"/>
        </w:numPr>
        <w:spacing w:after="90" w:line="360"/>
      </w:pPr>
      <w:r>
        <w:rPr>
          <w:rFonts w:ascii="Book Antiqua" w:cs="Book Antiqua" w:eastAsia="Book Antiqua" w:hAnsi="Book Antiqua"/>
          <w:color w:val="2B221E"/>
          <w:sz w:val="22"/>
          <w:szCs w:val="22"/>
        </w:rPr>
        <w:t xml:space="preserve">Define measures, evidence sources and review frequency for supplier code of conduct &amp; onboarding.</w:t>
      </w:r>
    </w:p>
    <w:p>
      <w:pPr>
        <w:spacing w:before="70"/>
      </w:pPr>
      <w:r>
        <w:rPr>
          <w:sz w:val="2"/>
          <w:szCs w:val="2"/>
        </w:rPr>
        <w:t xml:space="preserve"> </w:t>
      </w:r>
    </w:p>
    <w:p>
      <w:pPr>
        <w:spacing w:after="90"/>
      </w:pPr>
      <w:r>
        <w:rPr>
          <w:rFonts w:ascii="Book Antiqua" w:cs="Book Antiqua" w:eastAsia="Book Antiqua" w:hAnsi="Book Antiqua"/>
          <w:b/>
          <w:bCs/>
          <w:color w:val="5E443A"/>
          <w:sz w:val="18"/>
          <w:szCs w:val="18"/>
        </w:rPr>
        <w:t xml:space="preserve">02  </w:t>
      </w:r>
      <w:r>
        <w:rPr>
          <w:rFonts w:ascii="Book Antiqua" w:cs="Book Antiqua" w:eastAsia="Book Antiqua" w:hAnsi="Book Antiqua"/>
          <w:b/>
          <w:bCs/>
          <w:color w:val="3C2B25"/>
          <w:sz w:val="26"/>
          <w:szCs w:val="26"/>
        </w:rPr>
        <w:t xml:space="preserve">Supplier Due Diligence &amp; Risk Assessment</w:t>
      </w:r>
    </w:p>
    <w:p>
      <w:pPr>
        <w:pStyle w:val="PolicyBody"/>
        <w:numPr>
          <w:ilvl w:val="0"/>
          <w:numId w:val="2"/>
        </w:numPr>
        <w:spacing w:after="90" w:line="360"/>
      </w:pPr>
      <w:r>
        <w:rPr>
          <w:rFonts w:ascii="Book Antiqua" w:cs="Book Antiqua" w:eastAsia="Book Antiqua" w:hAnsi="Book Antiqua"/>
          <w:color w:val="2B221E"/>
          <w:sz w:val="22"/>
          <w:szCs w:val="22"/>
        </w:rPr>
        <w:t xml:space="preserve">Assign accountable ownership and approved procedures for supplier due diligence &amp; risk assessment.</w:t>
      </w:r>
    </w:p>
    <w:p>
      <w:pPr>
        <w:pStyle w:val="PolicyBody"/>
        <w:numPr>
          <w:ilvl w:val="0"/>
          <w:numId w:val="2"/>
        </w:numPr>
        <w:spacing w:after="90" w:line="360"/>
      </w:pPr>
      <w:r>
        <w:rPr>
          <w:rFonts w:ascii="Book Antiqua" w:cs="Book Antiqua" w:eastAsia="Book Antiqua" w:hAnsi="Book Antiqua"/>
          <w:color w:val="2B221E"/>
          <w:sz w:val="22"/>
          <w:szCs w:val="22"/>
        </w:rPr>
        <w:t xml:space="preserve">Identify material risks and improvement opportunities related to supplier due diligence &amp; risk assessment.</w:t>
      </w:r>
    </w:p>
    <w:p>
      <w:pPr>
        <w:pStyle w:val="PolicyBody"/>
        <w:numPr>
          <w:ilvl w:val="0"/>
          <w:numId w:val="2"/>
        </w:numPr>
        <w:spacing w:after="90" w:line="360"/>
      </w:pPr>
      <w:r>
        <w:rPr>
          <w:rFonts w:ascii="Book Antiqua" w:cs="Book Antiqua" w:eastAsia="Book Antiqua" w:hAnsi="Book Antiqua"/>
          <w:color w:val="2B221E"/>
          <w:sz w:val="22"/>
          <w:szCs w:val="22"/>
        </w:rPr>
        <w:t xml:space="preserve">Define measures, evidence sources and review frequency for supplier due diligence &amp; risk assessment.</w:t>
      </w:r>
    </w:p>
    <w:p>
      <w:pPr>
        <w:spacing w:before="70"/>
      </w:pPr>
      <w:r>
        <w:rPr>
          <w:sz w:val="2"/>
          <w:szCs w:val="2"/>
        </w:rPr>
        <w:t xml:space="preserve"> </w:t>
      </w:r>
    </w:p>
    <w:p>
      <w:pPr>
        <w:spacing w:after="90"/>
      </w:pPr>
      <w:r>
        <w:rPr>
          <w:rFonts w:ascii="Book Antiqua" w:cs="Book Antiqua" w:eastAsia="Book Antiqua" w:hAnsi="Book Antiqua"/>
          <w:b/>
          <w:bCs/>
          <w:color w:val="5E443A"/>
          <w:sz w:val="18"/>
          <w:szCs w:val="18"/>
        </w:rPr>
        <w:t xml:space="preserve">03  </w:t>
      </w:r>
      <w:r>
        <w:rPr>
          <w:rFonts w:ascii="Book Antiqua" w:cs="Book Antiqua" w:eastAsia="Book Antiqua" w:hAnsi="Book Antiqua"/>
          <w:b/>
          <w:bCs/>
          <w:color w:val="3C2B25"/>
          <w:sz w:val="26"/>
          <w:szCs w:val="26"/>
        </w:rPr>
        <w:t xml:space="preserve">Environmental Requirements for Suppliers</w:t>
      </w:r>
    </w:p>
    <w:p>
      <w:pPr>
        <w:pStyle w:val="PolicyBody"/>
        <w:numPr>
          <w:ilvl w:val="0"/>
          <w:numId w:val="2"/>
        </w:numPr>
        <w:spacing w:after="90" w:line="360"/>
      </w:pPr>
      <w:r>
        <w:rPr>
          <w:rFonts w:ascii="Book Antiqua" w:cs="Book Antiqua" w:eastAsia="Book Antiqua" w:hAnsi="Book Antiqua"/>
          <w:color w:val="2B221E"/>
          <w:sz w:val="22"/>
          <w:szCs w:val="22"/>
        </w:rPr>
        <w:t xml:space="preserve">Assign accountable ownership and approved procedures for environmental requirements for suppliers.</w:t>
      </w:r>
    </w:p>
    <w:p>
      <w:pPr>
        <w:pStyle w:val="PolicyBody"/>
        <w:numPr>
          <w:ilvl w:val="0"/>
          <w:numId w:val="2"/>
        </w:numPr>
        <w:spacing w:after="90" w:line="360"/>
      </w:pPr>
      <w:r>
        <w:rPr>
          <w:rFonts w:ascii="Book Antiqua" w:cs="Book Antiqua" w:eastAsia="Book Antiqua" w:hAnsi="Book Antiqua"/>
          <w:color w:val="2B221E"/>
          <w:sz w:val="22"/>
          <w:szCs w:val="22"/>
        </w:rPr>
        <w:t xml:space="preserve">Identify material risks and improvement opportunities related to environmental requirements for suppliers.</w:t>
      </w:r>
    </w:p>
    <w:p>
      <w:pPr>
        <w:pStyle w:val="PolicyBody"/>
        <w:numPr>
          <w:ilvl w:val="0"/>
          <w:numId w:val="2"/>
        </w:numPr>
        <w:spacing w:after="90" w:line="360"/>
      </w:pPr>
      <w:r>
        <w:rPr>
          <w:rFonts w:ascii="Book Antiqua" w:cs="Book Antiqua" w:eastAsia="Book Antiqua" w:hAnsi="Book Antiqua"/>
          <w:color w:val="2B221E"/>
          <w:sz w:val="22"/>
          <w:szCs w:val="22"/>
        </w:rPr>
        <w:t xml:space="preserve">Define measures, evidence sources and review frequency for environmental requirements for suppliers.</w:t>
      </w:r>
    </w:p>
    <w:p>
      <w:pPr>
        <w:spacing w:before="70"/>
      </w:pPr>
      <w:r>
        <w:rPr>
          <w:sz w:val="2"/>
          <w:szCs w:val="2"/>
        </w:rPr>
        <w:t xml:space="preserve"> </w:t>
      </w:r>
    </w:p>
    <w:p>
      <w:pPr>
        <w:spacing w:after="90"/>
      </w:pPr>
      <w:r>
        <w:rPr>
          <w:rFonts w:ascii="Book Antiqua" w:cs="Book Antiqua" w:eastAsia="Book Antiqua" w:hAnsi="Book Antiqua"/>
          <w:b/>
          <w:bCs/>
          <w:color w:val="5E443A"/>
          <w:sz w:val="18"/>
          <w:szCs w:val="18"/>
        </w:rPr>
        <w:t xml:space="preserve">04  </w:t>
      </w:r>
      <w:r>
        <w:rPr>
          <w:rFonts w:ascii="Book Antiqua" w:cs="Book Antiqua" w:eastAsia="Book Antiqua" w:hAnsi="Book Antiqua"/>
          <w:b/>
          <w:bCs/>
          <w:color w:val="3C2B25"/>
          <w:sz w:val="26"/>
          <w:szCs w:val="26"/>
        </w:rPr>
        <w:t xml:space="preserve">Ethical Sourcing &amp; Anti-Corruption</w:t>
      </w:r>
    </w:p>
    <w:p>
      <w:pPr>
        <w:pStyle w:val="PolicyBody"/>
        <w:numPr>
          <w:ilvl w:val="0"/>
          <w:numId w:val="2"/>
        </w:numPr>
        <w:spacing w:after="90" w:line="360"/>
      </w:pPr>
      <w:r>
        <w:rPr>
          <w:rFonts w:ascii="Book Antiqua" w:cs="Book Antiqua" w:eastAsia="Book Antiqua" w:hAnsi="Book Antiqua"/>
          <w:color w:val="2B221E"/>
          <w:sz w:val="22"/>
          <w:szCs w:val="22"/>
        </w:rPr>
        <w:t xml:space="preserve">Assign accountable ownership and approved procedures for ethical sourcing &amp; anti-corruption.</w:t>
      </w:r>
    </w:p>
    <w:p>
      <w:pPr>
        <w:pStyle w:val="PolicyBody"/>
        <w:numPr>
          <w:ilvl w:val="0"/>
          <w:numId w:val="2"/>
        </w:numPr>
        <w:spacing w:after="90" w:line="360"/>
      </w:pPr>
      <w:r>
        <w:rPr>
          <w:rFonts w:ascii="Book Antiqua" w:cs="Book Antiqua" w:eastAsia="Book Antiqua" w:hAnsi="Book Antiqua"/>
          <w:color w:val="2B221E"/>
          <w:sz w:val="22"/>
          <w:szCs w:val="22"/>
        </w:rPr>
        <w:t xml:space="preserve">Identify material risks and improvement opportunities related to ethical sourcing &amp; anti-corruption.</w:t>
      </w:r>
    </w:p>
    <w:p>
      <w:pPr>
        <w:pStyle w:val="PolicyBody"/>
        <w:numPr>
          <w:ilvl w:val="0"/>
          <w:numId w:val="2"/>
        </w:numPr>
        <w:spacing w:after="90" w:line="360"/>
      </w:pPr>
      <w:r>
        <w:rPr>
          <w:rFonts w:ascii="Book Antiqua" w:cs="Book Antiqua" w:eastAsia="Book Antiqua" w:hAnsi="Book Antiqua"/>
          <w:color w:val="2B221E"/>
          <w:sz w:val="22"/>
          <w:szCs w:val="22"/>
        </w:rPr>
        <w:t xml:space="preserve">Define measures, evidence sources and review frequency for ethical sourcing &amp; anti-corruption.</w:t>
      </w:r>
    </w:p>
    <w:p>
      <w:pPr>
        <w:spacing w:before="70"/>
      </w:pPr>
      <w:r>
        <w:rPr>
          <w:sz w:val="2"/>
          <w:szCs w:val="2"/>
        </w:rPr>
        <w:t xml:space="preserve"> </w:t>
      </w:r>
    </w:p>
    <w:p>
      <w:pPr>
        <w:spacing w:after="90"/>
      </w:pPr>
      <w:r>
        <w:rPr>
          <w:rFonts w:ascii="Book Antiqua" w:cs="Book Antiqua" w:eastAsia="Book Antiqua" w:hAnsi="Book Antiqua"/>
          <w:b/>
          <w:bCs/>
          <w:color w:val="5E443A"/>
          <w:sz w:val="18"/>
          <w:szCs w:val="18"/>
        </w:rPr>
        <w:t xml:space="preserve">05  </w:t>
      </w:r>
      <w:r>
        <w:rPr>
          <w:rFonts w:ascii="Book Antiqua" w:cs="Book Antiqua" w:eastAsia="Book Antiqua" w:hAnsi="Book Antiqua"/>
          <w:b/>
          <w:bCs/>
          <w:color w:val="3C2B25"/>
          <w:sz w:val="26"/>
          <w:szCs w:val="26"/>
        </w:rPr>
        <w:t xml:space="preserve">Labour &amp; Human Rights in Supply Chain</w:t>
      </w:r>
    </w:p>
    <w:p>
      <w:pPr>
        <w:pStyle w:val="PolicyBody"/>
        <w:numPr>
          <w:ilvl w:val="0"/>
          <w:numId w:val="2"/>
        </w:numPr>
        <w:spacing w:after="90" w:line="360"/>
      </w:pPr>
      <w:r>
        <w:rPr>
          <w:rFonts w:ascii="Book Antiqua" w:cs="Book Antiqua" w:eastAsia="Book Antiqua" w:hAnsi="Book Antiqua"/>
          <w:color w:val="2B221E"/>
          <w:sz w:val="22"/>
          <w:szCs w:val="22"/>
        </w:rPr>
        <w:t xml:space="preserve">Assign accountable ownership and approved procedures for labour &amp; human rights in supply chain.</w:t>
      </w:r>
    </w:p>
    <w:p>
      <w:pPr>
        <w:pStyle w:val="PolicyBody"/>
        <w:numPr>
          <w:ilvl w:val="0"/>
          <w:numId w:val="2"/>
        </w:numPr>
        <w:spacing w:after="90" w:line="360"/>
      </w:pPr>
      <w:r>
        <w:rPr>
          <w:rFonts w:ascii="Book Antiqua" w:cs="Book Antiqua" w:eastAsia="Book Antiqua" w:hAnsi="Book Antiqua"/>
          <w:color w:val="2B221E"/>
          <w:sz w:val="22"/>
          <w:szCs w:val="22"/>
        </w:rPr>
        <w:t xml:space="preserve">Identify material risks and improvement opportunities related to labour &amp; human rights in supply chain.</w:t>
      </w:r>
    </w:p>
    <w:p>
      <w:pPr>
        <w:pStyle w:val="PolicyBody"/>
        <w:numPr>
          <w:ilvl w:val="0"/>
          <w:numId w:val="2"/>
        </w:numPr>
        <w:spacing w:after="90" w:line="360"/>
      </w:pPr>
      <w:r>
        <w:rPr>
          <w:rFonts w:ascii="Book Antiqua" w:cs="Book Antiqua" w:eastAsia="Book Antiqua" w:hAnsi="Book Antiqua"/>
          <w:color w:val="2B221E"/>
          <w:sz w:val="22"/>
          <w:szCs w:val="22"/>
        </w:rPr>
        <w:t xml:space="preserve">Define measures, evidence sources and review frequency for labour &amp; human rights in supply chain.</w:t>
      </w:r>
    </w:p>
    <w:p>
      <w:pPr>
        <w:spacing w:before="70"/>
      </w:pPr>
      <w:r>
        <w:rPr>
          <w:sz w:val="2"/>
          <w:szCs w:val="2"/>
        </w:rPr>
        <w:t xml:space="preserve"> </w:t>
      </w:r>
    </w:p>
    <w:p>
      <w:pPr>
        <w:spacing w:before="165"/>
      </w:pPr>
      <w:r>
        <w:rPr>
          <w:sz w:val="2"/>
          <w:szCs w:val="2"/>
        </w:rPr>
        <w:t xml:space="preserve"> </w:t>
      </w:r>
    </w:p>
    <w:p>
      <w:pPr>
        <w:pStyle w:val="PolicyHeading"/>
        <w:pBdr>
          <w:bottom w:val="single" w:color="5E443A" w:sz="4" w:space="1"/>
        </w:pBdr>
        <w:spacing w:after="180" w:before="260"/>
        <w:jc w:val="left"/>
      </w:pPr>
      <w:bookmarkStart w:name="standard-quantitative" w:id="1"/>
      <w:bookmarkEnd w:id="1"/>
      <w:r>
        <w:rPr>
          <w:rFonts w:ascii="Book Antiqua" w:cs="Book Antiqua" w:eastAsia="Book Antiqua" w:hAnsi="Book Antiqua"/>
          <w:color w:val="796B63"/>
          <w:sz w:val="20"/>
          <w:szCs w:val="20"/>
        </w:rPr>
        <w:t xml:space="preserve">06   </w:t>
      </w:r>
      <w:r>
        <w:rPr>
          <w:rFonts w:ascii="Book Antiqua" w:cs="Book Antiqua" w:eastAsia="Book Antiqua" w:hAnsi="Book Antiqua"/>
          <w:b/>
          <w:bCs/>
          <w:color w:val="3C2B25"/>
          <w:sz w:val="34"/>
          <w:szCs w:val="34"/>
        </w:rPr>
        <w:t xml:space="preserve">Quantitative Targets</w:t>
      </w:r>
    </w:p>
    <w:p>
      <w:pPr>
        <w:spacing w:after="120"/>
      </w:pPr>
      <w:r>
        <w:rPr>
          <w:rFonts w:ascii="Book Antiqua" w:cs="Book Antiqua" w:eastAsia="Book Antiqua" w:hAnsi="Book Antiqua"/>
          <w:i/>
          <w:iCs/>
          <w:color w:val="796B63"/>
          <w:sz w:val="17"/>
          <w:szCs w:val="17"/>
        </w:rPr>
        <w:t xml:space="preserve">Targets are tracked against a defined period or reported annually as ongoing commitments.</w:t>
      </w:r>
    </w:p>
    <w:tbl>
      <w:tblPr>
        <w:tblW w:type="dxa" w:w="8498"/>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900"/>
        <w:gridCol w:w="7598"/>
      </w:tblGrid>
      <w:tr>
        <w:trPr>
          <w:cantSplit/>
        </w:trPr>
        <w:tc>
          <w:tcPr>
            <w:tcW w:type="dxa" w:w="900"/>
            <w:tcBorders>
              <w:top w:val="single" w:color="E2D5CE" w:sz="5" w:space="1"/>
            </w:tcBorders>
            <w:tcMar>
              <w:top w:type="dxa" w:w="120"/>
              <w:left w:type="dxa" w:w="120"/>
              <w:bottom w:type="dxa" w:w="120"/>
              <w:right w:type="dxa" w:w="120"/>
            </w:tcMar>
            <w:vAlign w:val="center"/>
          </w:tcPr>
          <w:p>
            <w:pPr>
              <w:jc w:val="center"/>
            </w:pPr>
            <w:r>
              <w:rPr>
                <w:rFonts w:ascii="Georgia" w:cs="Georgia" w:eastAsia="Georgia" w:hAnsi="Georgia"/>
                <w:b w:val="false"/>
                <w:bCs w:val="false"/>
                <w:color w:val="2F6B61"/>
                <w:sz w:val="28"/>
                <w:szCs w:val="28"/>
              </w:rPr>
              <w:t xml:space="preserve">01</w:t>
            </w:r>
          </w:p>
        </w:tc>
        <w:tc>
          <w:tcPr>
            <w:tcW w:type="dxa" w:w="7598"/>
            <w:tcBorders>
              <w:top w:val="single" w:color="E2D5CE" w:sz="5" w:space="1"/>
            </w:tcBorders>
            <w:tcMar>
              <w:top w:type="dxa" w:w="120"/>
              <w:left w:type="dxa" w:w="120"/>
              <w:bottom w:type="dxa" w:w="120"/>
              <w:right w:type="dxa" w:w="120"/>
            </w:tcMar>
            <w:vAlign w:val="center"/>
          </w:tcPr>
          <w:p>
            <w:r>
              <w:rPr>
                <w:b w:val="false"/>
                <w:bCs w:val="false"/>
                <w:color w:val="2B221E"/>
                <w:sz w:val="20"/>
                <w:szCs w:val="20"/>
              </w:rPr>
              <w:t xml:space="preserve">Supplier Code of Conduct &amp; Onboarding</w:t>
            </w:r>
          </w:p>
          <w:p>
            <w:pPr>
              <w:spacing w:before="45"/>
            </w:pPr>
            <w:r>
              <w:rPr>
                <w:sz w:val="19"/>
                <w:szCs w:val="19"/>
              </w:rPr>
              <w:t xml:space="preserve">1. Achieve the approved supplier code of conduct &amp; onboarding target. Maintain documented evidence and review progress with the responsible department each quarter. Baseline FY 2024-25 · Due FY 2028-29</w:t>
            </w:r>
          </w:p>
        </w:tc>
      </w:tr>
    </w:tbl>
    <w:tbl>
      <w:tblPr>
        <w:tblW w:type="dxa" w:w="8498"/>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900"/>
        <w:gridCol w:w="7598"/>
      </w:tblGrid>
      <w:tr>
        <w:trPr>
          <w:cantSplit/>
        </w:trPr>
        <w:tc>
          <w:tcPr>
            <w:tcW w:type="dxa" w:w="900"/>
            <w:tcBorders>
              <w:top w:val="single" w:color="E2D5CE" w:sz="5" w:space="1"/>
            </w:tcBorders>
            <w:tcMar>
              <w:top w:type="dxa" w:w="120"/>
              <w:left w:type="dxa" w:w="120"/>
              <w:bottom w:type="dxa" w:w="120"/>
              <w:right w:type="dxa" w:w="120"/>
            </w:tcMar>
            <w:vAlign w:val="center"/>
          </w:tcPr>
          <w:p>
            <w:pPr>
              <w:jc w:val="center"/>
            </w:pPr>
            <w:r>
              <w:rPr>
                <w:rFonts w:ascii="Georgia" w:cs="Georgia" w:eastAsia="Georgia" w:hAnsi="Georgia"/>
                <w:b w:val="false"/>
                <w:bCs w:val="false"/>
                <w:color w:val="2F6B61"/>
                <w:sz w:val="28"/>
                <w:szCs w:val="28"/>
              </w:rPr>
              <w:t xml:space="preserve">02</w:t>
            </w:r>
          </w:p>
        </w:tc>
        <w:tc>
          <w:tcPr>
            <w:tcW w:type="dxa" w:w="7598"/>
            <w:tcBorders>
              <w:top w:val="single" w:color="E2D5CE" w:sz="5" w:space="1"/>
            </w:tcBorders>
            <w:tcMar>
              <w:top w:type="dxa" w:w="120"/>
              <w:left w:type="dxa" w:w="120"/>
              <w:bottom w:type="dxa" w:w="120"/>
              <w:right w:type="dxa" w:w="120"/>
            </w:tcMar>
            <w:vAlign w:val="center"/>
          </w:tcPr>
          <w:p>
            <w:r>
              <w:rPr>
                <w:b w:val="false"/>
                <w:bCs w:val="false"/>
                <w:color w:val="2B221E"/>
                <w:sz w:val="20"/>
                <w:szCs w:val="20"/>
              </w:rPr>
              <w:t xml:space="preserve">Supplier Code of Conduct &amp; Onboarding</w:t>
            </w:r>
          </w:p>
          <w:p>
            <w:pPr>
              <w:spacing w:before="45"/>
            </w:pPr>
            <w:r>
              <w:rPr>
                <w:sz w:val="19"/>
                <w:szCs w:val="19"/>
              </w:rPr>
              <w:t xml:space="preserve">2. Achieve the approved supplier code of conduct &amp; onboarding target. Maintain documented evidence and review progress with the responsible department each quarter. Baseline FY 2024-25 · Due FY 2028-29</w:t>
            </w:r>
          </w:p>
        </w:tc>
      </w:tr>
    </w:tbl>
    <w:tbl>
      <w:tblPr>
        <w:tblW w:type="dxa" w:w="8498"/>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900"/>
        <w:gridCol w:w="7598"/>
      </w:tblGrid>
      <w:tr>
        <w:trPr>
          <w:cantSplit/>
        </w:trPr>
        <w:tc>
          <w:tcPr>
            <w:tcW w:type="dxa" w:w="900"/>
            <w:tcBorders>
              <w:top w:val="single" w:color="E2D5CE" w:sz="5" w:space="1"/>
            </w:tcBorders>
            <w:tcMar>
              <w:top w:type="dxa" w:w="120"/>
              <w:left w:type="dxa" w:w="120"/>
              <w:bottom w:type="dxa" w:w="120"/>
              <w:right w:type="dxa" w:w="120"/>
            </w:tcMar>
            <w:vAlign w:val="center"/>
          </w:tcPr>
          <w:p>
            <w:pPr>
              <w:jc w:val="center"/>
            </w:pPr>
            <w:r>
              <w:rPr>
                <w:rFonts w:ascii="Georgia" w:cs="Georgia" w:eastAsia="Georgia" w:hAnsi="Georgia"/>
                <w:b w:val="false"/>
                <w:bCs w:val="false"/>
                <w:color w:val="2F6B61"/>
                <w:sz w:val="28"/>
                <w:szCs w:val="28"/>
              </w:rPr>
              <w:t xml:space="preserve">03</w:t>
            </w:r>
          </w:p>
        </w:tc>
        <w:tc>
          <w:tcPr>
            <w:tcW w:type="dxa" w:w="7598"/>
            <w:tcBorders>
              <w:top w:val="single" w:color="E2D5CE" w:sz="5" w:space="1"/>
            </w:tcBorders>
            <w:tcMar>
              <w:top w:type="dxa" w:w="120"/>
              <w:left w:type="dxa" w:w="120"/>
              <w:bottom w:type="dxa" w:w="120"/>
              <w:right w:type="dxa" w:w="120"/>
            </w:tcMar>
            <w:vAlign w:val="center"/>
          </w:tcPr>
          <w:p>
            <w:r>
              <w:rPr>
                <w:b w:val="false"/>
                <w:bCs w:val="false"/>
                <w:color w:val="2B221E"/>
                <w:sz w:val="20"/>
                <w:szCs w:val="20"/>
              </w:rPr>
              <w:t xml:space="preserve">Supplier Code of Conduct &amp; Onboarding</w:t>
            </w:r>
          </w:p>
          <w:p>
            <w:pPr>
              <w:spacing w:before="45"/>
            </w:pPr>
            <w:r>
              <w:rPr>
                <w:sz w:val="19"/>
                <w:szCs w:val="19"/>
              </w:rPr>
              <w:t xml:space="preserve">3. Achieve the approved supplier code of conduct &amp; onboarding target. Maintain documented evidence and review progress with the responsible department each quarter. Baseline FY 2024-25 · Due FY 2028-29</w:t>
            </w:r>
          </w:p>
        </w:tc>
      </w:tr>
    </w:tbl>
    <w:tbl>
      <w:tblPr>
        <w:tblW w:type="dxa" w:w="8498"/>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900"/>
        <w:gridCol w:w="7598"/>
      </w:tblGrid>
      <w:tr>
        <w:trPr>
          <w:cantSplit/>
        </w:trPr>
        <w:tc>
          <w:tcPr>
            <w:tcW w:type="dxa" w:w="900"/>
            <w:tcBorders>
              <w:top w:val="single" w:color="E2D5CE" w:sz="5" w:space="1"/>
            </w:tcBorders>
            <w:tcMar>
              <w:top w:type="dxa" w:w="120"/>
              <w:left w:type="dxa" w:w="120"/>
              <w:bottom w:type="dxa" w:w="120"/>
              <w:right w:type="dxa" w:w="120"/>
            </w:tcMar>
            <w:vAlign w:val="center"/>
          </w:tcPr>
          <w:p>
            <w:pPr>
              <w:jc w:val="center"/>
            </w:pPr>
            <w:r>
              <w:rPr>
                <w:rFonts w:ascii="Georgia" w:cs="Georgia" w:eastAsia="Georgia" w:hAnsi="Georgia"/>
                <w:b w:val="false"/>
                <w:bCs w:val="false"/>
                <w:color w:val="2F6B61"/>
                <w:sz w:val="28"/>
                <w:szCs w:val="28"/>
              </w:rPr>
              <w:t xml:space="preserve">04</w:t>
            </w:r>
          </w:p>
        </w:tc>
        <w:tc>
          <w:tcPr>
            <w:tcW w:type="dxa" w:w="7598"/>
            <w:tcBorders>
              <w:top w:val="single" w:color="E2D5CE" w:sz="5" w:space="1"/>
            </w:tcBorders>
            <w:tcMar>
              <w:top w:type="dxa" w:w="120"/>
              <w:left w:type="dxa" w:w="120"/>
              <w:bottom w:type="dxa" w:w="120"/>
              <w:right w:type="dxa" w:w="120"/>
            </w:tcMar>
            <w:vAlign w:val="center"/>
          </w:tcPr>
          <w:p>
            <w:r>
              <w:rPr>
                <w:b w:val="false"/>
                <w:bCs w:val="false"/>
                <w:color w:val="2B221E"/>
                <w:sz w:val="20"/>
                <w:szCs w:val="20"/>
              </w:rPr>
              <w:t xml:space="preserve">Supplier Code of Conduct &amp; Onboarding</w:t>
            </w:r>
          </w:p>
          <w:p>
            <w:pPr>
              <w:spacing w:before="45"/>
            </w:pPr>
            <w:r>
              <w:rPr>
                <w:sz w:val="19"/>
                <w:szCs w:val="19"/>
              </w:rPr>
              <w:t xml:space="preserve">4. Achieve the approved supplier code of conduct &amp; onboarding target. Maintain documented evidence and review progress with the responsible department each quarter. Baseline FY 2024-25 · Due FY 2028-29</w:t>
            </w:r>
          </w:p>
        </w:tc>
      </w:tr>
    </w:tbl>
    <w:tbl>
      <w:tblPr>
        <w:tblW w:type="dxa" w:w="8498"/>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900"/>
        <w:gridCol w:w="7598"/>
      </w:tblGrid>
      <w:tr>
        <w:trPr>
          <w:cantSplit/>
        </w:trPr>
        <w:tc>
          <w:tcPr>
            <w:tcW w:type="dxa" w:w="900"/>
            <w:tcBorders>
              <w:top w:val="single" w:color="E2D5CE" w:sz="5" w:space="1"/>
            </w:tcBorders>
            <w:tcMar>
              <w:top w:type="dxa" w:w="120"/>
              <w:left w:type="dxa" w:w="120"/>
              <w:bottom w:type="dxa" w:w="120"/>
              <w:right w:type="dxa" w:w="120"/>
            </w:tcMar>
            <w:vAlign w:val="center"/>
          </w:tcPr>
          <w:p>
            <w:pPr>
              <w:jc w:val="center"/>
            </w:pPr>
            <w:r>
              <w:rPr>
                <w:rFonts w:ascii="Georgia" w:cs="Georgia" w:eastAsia="Georgia" w:hAnsi="Georgia"/>
                <w:b w:val="false"/>
                <w:bCs w:val="false"/>
                <w:color w:val="2F6B61"/>
                <w:sz w:val="28"/>
                <w:szCs w:val="28"/>
              </w:rPr>
              <w:t xml:space="preserve">05</w:t>
            </w:r>
          </w:p>
        </w:tc>
        <w:tc>
          <w:tcPr>
            <w:tcW w:type="dxa" w:w="7598"/>
            <w:tcBorders>
              <w:top w:val="single" w:color="E2D5CE" w:sz="5" w:space="1"/>
            </w:tcBorders>
            <w:tcMar>
              <w:top w:type="dxa" w:w="120"/>
              <w:left w:type="dxa" w:w="120"/>
              <w:bottom w:type="dxa" w:w="120"/>
              <w:right w:type="dxa" w:w="120"/>
            </w:tcMar>
            <w:vAlign w:val="center"/>
          </w:tcPr>
          <w:p>
            <w:r>
              <w:rPr>
                <w:b w:val="false"/>
                <w:bCs w:val="false"/>
                <w:color w:val="2B221E"/>
                <w:sz w:val="20"/>
                <w:szCs w:val="20"/>
              </w:rPr>
              <w:t xml:space="preserve">Supplier Code of Conduct &amp; Onboarding</w:t>
            </w:r>
          </w:p>
          <w:p>
            <w:pPr>
              <w:spacing w:before="45"/>
            </w:pPr>
            <w:r>
              <w:rPr>
                <w:sz w:val="19"/>
                <w:szCs w:val="19"/>
              </w:rPr>
              <w:t xml:space="preserve">5. Achieve the approved supplier code of conduct &amp; onboarding target. Maintain documented evidence and review progress with the responsible department each quarter. Baseline FY 2024-25 · Due FY 2028-29</w:t>
            </w:r>
          </w:p>
        </w:tc>
      </w:tr>
    </w:tbl>
    <w:tbl>
      <w:tblPr>
        <w:tblW w:type="dxa" w:w="8498"/>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900"/>
        <w:gridCol w:w="7598"/>
      </w:tblGrid>
      <w:tr>
        <w:trPr>
          <w:cantSplit/>
        </w:trPr>
        <w:tc>
          <w:tcPr>
            <w:tcW w:type="dxa" w:w="900"/>
            <w:tcBorders>
              <w:top w:val="single" w:color="E2D5CE" w:sz="5" w:space="1"/>
            </w:tcBorders>
            <w:tcMar>
              <w:top w:type="dxa" w:w="120"/>
              <w:left w:type="dxa" w:w="120"/>
              <w:bottom w:type="dxa" w:w="120"/>
              <w:right w:type="dxa" w:w="120"/>
            </w:tcMar>
            <w:vAlign w:val="center"/>
          </w:tcPr>
          <w:p>
            <w:pPr>
              <w:jc w:val="center"/>
            </w:pPr>
            <w:r>
              <w:rPr>
                <w:rFonts w:ascii="Georgia" w:cs="Georgia" w:eastAsia="Georgia" w:hAnsi="Georgia"/>
                <w:b w:val="false"/>
                <w:bCs w:val="false"/>
                <w:color w:val="2F6B61"/>
                <w:sz w:val="28"/>
                <w:szCs w:val="28"/>
              </w:rPr>
              <w:t xml:space="preserve">06</w:t>
            </w:r>
          </w:p>
        </w:tc>
        <w:tc>
          <w:tcPr>
            <w:tcW w:type="dxa" w:w="7598"/>
            <w:tcBorders>
              <w:top w:val="single" w:color="E2D5CE" w:sz="5" w:space="1"/>
            </w:tcBorders>
            <w:tcMar>
              <w:top w:type="dxa" w:w="120"/>
              <w:left w:type="dxa" w:w="120"/>
              <w:bottom w:type="dxa" w:w="120"/>
              <w:right w:type="dxa" w:w="120"/>
            </w:tcMar>
            <w:vAlign w:val="center"/>
          </w:tcPr>
          <w:p>
            <w:r>
              <w:rPr>
                <w:b w:val="false"/>
                <w:bCs w:val="false"/>
                <w:color w:val="2B221E"/>
                <w:sz w:val="20"/>
                <w:szCs w:val="20"/>
              </w:rPr>
              <w:t xml:space="preserve">Supplier Code of Conduct &amp; Onboarding</w:t>
            </w:r>
          </w:p>
          <w:p>
            <w:pPr>
              <w:spacing w:before="45"/>
            </w:pPr>
            <w:r>
              <w:rPr>
                <w:sz w:val="19"/>
                <w:szCs w:val="19"/>
              </w:rPr>
              <w:t xml:space="preserve">6. Achieve the approved supplier code of conduct &amp; onboarding target. Maintain documented evidence and review progress with the responsible department each quarter. Baseline FY 2024-25 · Due FY 2028-29</w:t>
            </w:r>
          </w:p>
        </w:tc>
      </w:tr>
    </w:tbl>
    <w:tbl>
      <w:tblPr>
        <w:tblW w:type="dxa" w:w="8498"/>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900"/>
        <w:gridCol w:w="7598"/>
      </w:tblGrid>
      <w:tr>
        <w:trPr>
          <w:cantSplit/>
        </w:trPr>
        <w:tc>
          <w:tcPr>
            <w:tcW w:type="dxa" w:w="900"/>
            <w:tcBorders>
              <w:top w:val="single" w:color="E2D5CE" w:sz="5" w:space="1"/>
            </w:tcBorders>
            <w:tcMar>
              <w:top w:type="dxa" w:w="120"/>
              <w:left w:type="dxa" w:w="120"/>
              <w:bottom w:type="dxa" w:w="120"/>
              <w:right w:type="dxa" w:w="120"/>
            </w:tcMar>
            <w:vAlign w:val="center"/>
          </w:tcPr>
          <w:p>
            <w:pPr>
              <w:jc w:val="center"/>
            </w:pPr>
            <w:r>
              <w:rPr>
                <w:rFonts w:ascii="Georgia" w:cs="Georgia" w:eastAsia="Georgia" w:hAnsi="Georgia"/>
                <w:b w:val="false"/>
                <w:bCs w:val="false"/>
                <w:color w:val="2F6B61"/>
                <w:sz w:val="28"/>
                <w:szCs w:val="28"/>
              </w:rPr>
              <w:t xml:space="preserve">07</w:t>
            </w:r>
          </w:p>
        </w:tc>
        <w:tc>
          <w:tcPr>
            <w:tcW w:type="dxa" w:w="7598"/>
            <w:tcBorders>
              <w:top w:val="single" w:color="E2D5CE" w:sz="5" w:space="1"/>
            </w:tcBorders>
            <w:tcMar>
              <w:top w:type="dxa" w:w="120"/>
              <w:left w:type="dxa" w:w="120"/>
              <w:bottom w:type="dxa" w:w="120"/>
              <w:right w:type="dxa" w:w="120"/>
            </w:tcMar>
            <w:vAlign w:val="center"/>
          </w:tcPr>
          <w:p>
            <w:r>
              <w:rPr>
                <w:b w:val="false"/>
                <w:bCs w:val="false"/>
                <w:color w:val="2B221E"/>
                <w:sz w:val="20"/>
                <w:szCs w:val="20"/>
              </w:rPr>
              <w:t xml:space="preserve">Supplier Code of Conduct &amp; Onboarding</w:t>
            </w:r>
          </w:p>
          <w:p>
            <w:pPr>
              <w:spacing w:before="45"/>
            </w:pPr>
            <w:r>
              <w:rPr>
                <w:sz w:val="19"/>
                <w:szCs w:val="19"/>
              </w:rPr>
              <w:t xml:space="preserve">7. Achieve the approved supplier code of conduct &amp; onboarding target. Maintain documented evidence and review progress with the responsible department each quarter. Baseline FY 2024-25 · Due FY 2028-29</w:t>
            </w:r>
          </w:p>
        </w:tc>
      </w:tr>
    </w:tbl>
    <w:tbl>
      <w:tblPr>
        <w:tblW w:type="dxa" w:w="8498"/>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900"/>
        <w:gridCol w:w="7598"/>
      </w:tblGrid>
      <w:tr>
        <w:trPr>
          <w:cantSplit/>
        </w:trPr>
        <w:tc>
          <w:tcPr>
            <w:tcW w:type="dxa" w:w="900"/>
            <w:tcBorders>
              <w:top w:val="single" w:color="E2D5CE" w:sz="5" w:space="1"/>
            </w:tcBorders>
            <w:tcMar>
              <w:top w:type="dxa" w:w="120"/>
              <w:left w:type="dxa" w:w="120"/>
              <w:bottom w:type="dxa" w:w="120"/>
              <w:right w:type="dxa" w:w="120"/>
            </w:tcMar>
            <w:vAlign w:val="center"/>
          </w:tcPr>
          <w:p>
            <w:pPr>
              <w:jc w:val="center"/>
            </w:pPr>
            <w:r>
              <w:rPr>
                <w:rFonts w:ascii="Georgia" w:cs="Georgia" w:eastAsia="Georgia" w:hAnsi="Georgia"/>
                <w:b w:val="false"/>
                <w:bCs w:val="false"/>
                <w:color w:val="2F6B61"/>
                <w:sz w:val="28"/>
                <w:szCs w:val="28"/>
              </w:rPr>
              <w:t xml:space="preserve">08</w:t>
            </w:r>
          </w:p>
        </w:tc>
        <w:tc>
          <w:tcPr>
            <w:tcW w:type="dxa" w:w="7598"/>
            <w:tcBorders>
              <w:top w:val="single" w:color="E2D5CE" w:sz="5" w:space="1"/>
            </w:tcBorders>
            <w:tcMar>
              <w:top w:type="dxa" w:w="120"/>
              <w:left w:type="dxa" w:w="120"/>
              <w:bottom w:type="dxa" w:w="120"/>
              <w:right w:type="dxa" w:w="120"/>
            </w:tcMar>
            <w:vAlign w:val="center"/>
          </w:tcPr>
          <w:p>
            <w:r>
              <w:rPr>
                <w:b w:val="false"/>
                <w:bCs w:val="false"/>
                <w:color w:val="2B221E"/>
                <w:sz w:val="20"/>
                <w:szCs w:val="20"/>
              </w:rPr>
              <w:t xml:space="preserve">Supplier Code of Conduct &amp; Onboarding</w:t>
            </w:r>
          </w:p>
          <w:p>
            <w:pPr>
              <w:spacing w:before="45"/>
            </w:pPr>
            <w:r>
              <w:rPr>
                <w:sz w:val="19"/>
                <w:szCs w:val="19"/>
              </w:rPr>
              <w:t xml:space="preserve">8. Achieve the approved supplier code of conduct &amp; onboarding target. Maintain documented evidence and review progress with the responsible department each quarter. Baseline FY 2024-25 · Due FY 2028-29</w:t>
            </w:r>
          </w:p>
        </w:tc>
      </w:tr>
    </w:tbl>
    <w:tbl>
      <w:tblPr>
        <w:tblW w:type="dxa" w:w="8498"/>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900"/>
        <w:gridCol w:w="7598"/>
      </w:tblGrid>
      <w:tr>
        <w:trPr>
          <w:cantSplit/>
        </w:trPr>
        <w:tc>
          <w:tcPr>
            <w:tcW w:type="dxa" w:w="900"/>
            <w:tcBorders>
              <w:top w:val="single" w:color="E2D5CE" w:sz="5" w:space="1"/>
            </w:tcBorders>
            <w:tcMar>
              <w:top w:type="dxa" w:w="120"/>
              <w:left w:type="dxa" w:w="120"/>
              <w:bottom w:type="dxa" w:w="120"/>
              <w:right w:type="dxa" w:w="120"/>
            </w:tcMar>
            <w:vAlign w:val="center"/>
          </w:tcPr>
          <w:p>
            <w:pPr>
              <w:jc w:val="center"/>
            </w:pPr>
            <w:r>
              <w:rPr>
                <w:rFonts w:ascii="Georgia" w:cs="Georgia" w:eastAsia="Georgia" w:hAnsi="Georgia"/>
                <w:b w:val="false"/>
                <w:bCs w:val="false"/>
                <w:color w:val="2F6B61"/>
                <w:sz w:val="28"/>
                <w:szCs w:val="28"/>
              </w:rPr>
              <w:t xml:space="preserve">09</w:t>
            </w:r>
          </w:p>
        </w:tc>
        <w:tc>
          <w:tcPr>
            <w:tcW w:type="dxa" w:w="7598"/>
            <w:tcBorders>
              <w:top w:val="single" w:color="E2D5CE" w:sz="5" w:space="1"/>
            </w:tcBorders>
            <w:tcMar>
              <w:top w:type="dxa" w:w="120"/>
              <w:left w:type="dxa" w:w="120"/>
              <w:bottom w:type="dxa" w:w="120"/>
              <w:right w:type="dxa" w:w="120"/>
            </w:tcMar>
            <w:vAlign w:val="center"/>
          </w:tcPr>
          <w:p>
            <w:r>
              <w:rPr>
                <w:b w:val="false"/>
                <w:bCs w:val="false"/>
                <w:color w:val="2B221E"/>
                <w:sz w:val="20"/>
                <w:szCs w:val="20"/>
              </w:rPr>
              <w:t xml:space="preserve">Supplier Code of Conduct &amp; Onboarding</w:t>
            </w:r>
          </w:p>
          <w:p>
            <w:pPr>
              <w:spacing w:before="45"/>
            </w:pPr>
            <w:r>
              <w:rPr>
                <w:sz w:val="19"/>
                <w:szCs w:val="19"/>
              </w:rPr>
              <w:t xml:space="preserve">9. Achieve the approved supplier code of conduct &amp; onboarding target. Maintain documented evidence and review progress with the responsible department each quarter. Baseline FY 2024-25 · Due FY 2028-29</w:t>
            </w:r>
          </w:p>
        </w:tc>
      </w:tr>
    </w:tbl>
    <w:tbl>
      <w:tblPr>
        <w:tblW w:type="dxa" w:w="8498"/>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900"/>
        <w:gridCol w:w="7598"/>
      </w:tblGrid>
      <w:tr>
        <w:trPr>
          <w:cantSplit/>
        </w:trPr>
        <w:tc>
          <w:tcPr>
            <w:tcW w:type="dxa" w:w="900"/>
            <w:tcBorders>
              <w:top w:val="single" w:color="E2D5CE" w:sz="5" w:space="1"/>
            </w:tcBorders>
            <w:tcMar>
              <w:top w:type="dxa" w:w="120"/>
              <w:left w:type="dxa" w:w="120"/>
              <w:bottom w:type="dxa" w:w="120"/>
              <w:right w:type="dxa" w:w="120"/>
            </w:tcMar>
            <w:vAlign w:val="center"/>
          </w:tcPr>
          <w:p>
            <w:pPr>
              <w:jc w:val="center"/>
            </w:pPr>
            <w:r>
              <w:rPr>
                <w:rFonts w:ascii="Georgia" w:cs="Georgia" w:eastAsia="Georgia" w:hAnsi="Georgia"/>
                <w:b w:val="false"/>
                <w:bCs w:val="false"/>
                <w:color w:val="2F6B61"/>
                <w:sz w:val="28"/>
                <w:szCs w:val="28"/>
              </w:rPr>
              <w:t xml:space="preserve">10</w:t>
            </w:r>
          </w:p>
        </w:tc>
        <w:tc>
          <w:tcPr>
            <w:tcW w:type="dxa" w:w="7598"/>
            <w:tcBorders>
              <w:top w:val="single" w:color="E2D5CE" w:sz="5" w:space="1"/>
            </w:tcBorders>
            <w:tcMar>
              <w:top w:type="dxa" w:w="120"/>
              <w:left w:type="dxa" w:w="120"/>
              <w:bottom w:type="dxa" w:w="120"/>
              <w:right w:type="dxa" w:w="120"/>
            </w:tcMar>
            <w:vAlign w:val="center"/>
          </w:tcPr>
          <w:p>
            <w:r>
              <w:rPr>
                <w:b w:val="false"/>
                <w:bCs w:val="false"/>
                <w:color w:val="2B221E"/>
                <w:sz w:val="20"/>
                <w:szCs w:val="20"/>
              </w:rPr>
              <w:t xml:space="preserve">Supplier Code of Conduct &amp; Onboarding</w:t>
            </w:r>
          </w:p>
          <w:p>
            <w:pPr>
              <w:spacing w:before="45"/>
            </w:pPr>
            <w:r>
              <w:rPr>
                <w:sz w:val="19"/>
                <w:szCs w:val="19"/>
              </w:rPr>
              <w:t xml:space="preserve">10. Achieve the approved supplier code of conduct &amp; onboarding target. Maintain documented evidence and review progress with the responsible department each quarter. Baseline FY 2024-25 · Due FY 2028-29</w:t>
            </w:r>
          </w:p>
        </w:tc>
      </w:tr>
    </w:tbl>
    <w:tbl>
      <w:tblPr>
        <w:tblW w:type="dxa" w:w="8498"/>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900"/>
        <w:gridCol w:w="7598"/>
      </w:tblGrid>
      <w:tr>
        <w:trPr>
          <w:cantSplit/>
        </w:trPr>
        <w:tc>
          <w:tcPr>
            <w:tcW w:type="dxa" w:w="900"/>
            <w:tcBorders>
              <w:top w:val="single" w:color="E2D5CE" w:sz="5" w:space="1"/>
            </w:tcBorders>
            <w:tcMar>
              <w:top w:type="dxa" w:w="120"/>
              <w:left w:type="dxa" w:w="120"/>
              <w:bottom w:type="dxa" w:w="120"/>
              <w:right w:type="dxa" w:w="120"/>
            </w:tcMar>
            <w:vAlign w:val="center"/>
          </w:tcPr>
          <w:p>
            <w:pPr>
              <w:jc w:val="center"/>
            </w:pPr>
            <w:r>
              <w:rPr>
                <w:rFonts w:ascii="Georgia" w:cs="Georgia" w:eastAsia="Georgia" w:hAnsi="Georgia"/>
                <w:b w:val="false"/>
                <w:bCs w:val="false"/>
                <w:color w:val="2F6B61"/>
                <w:sz w:val="28"/>
                <w:szCs w:val="28"/>
              </w:rPr>
              <w:t xml:space="preserve">11</w:t>
            </w:r>
          </w:p>
        </w:tc>
        <w:tc>
          <w:tcPr>
            <w:tcW w:type="dxa" w:w="7598"/>
            <w:tcBorders>
              <w:top w:val="single" w:color="E2D5CE" w:sz="5" w:space="1"/>
            </w:tcBorders>
            <w:tcMar>
              <w:top w:type="dxa" w:w="120"/>
              <w:left w:type="dxa" w:w="120"/>
              <w:bottom w:type="dxa" w:w="120"/>
              <w:right w:type="dxa" w:w="120"/>
            </w:tcMar>
            <w:vAlign w:val="center"/>
          </w:tcPr>
          <w:p>
            <w:r>
              <w:rPr>
                <w:b w:val="false"/>
                <w:bCs w:val="false"/>
                <w:color w:val="2B221E"/>
                <w:sz w:val="20"/>
                <w:szCs w:val="20"/>
              </w:rPr>
              <w:t xml:space="preserve">Supplier Due Diligence &amp; Risk Assessment</w:t>
            </w:r>
          </w:p>
          <w:p>
            <w:pPr>
              <w:spacing w:before="45"/>
            </w:pPr>
            <w:r>
              <w:rPr>
                <w:sz w:val="19"/>
                <w:szCs w:val="19"/>
              </w:rPr>
              <w:t xml:space="preserve">1. Achieve the approved supplier due diligence &amp; risk assessment target. Maintain documented evidence and review progress with the responsible department each quarter. Baseline FY 2024-25 · Due FY 2028-29</w:t>
            </w:r>
          </w:p>
        </w:tc>
      </w:tr>
    </w:tbl>
    <w:tbl>
      <w:tblPr>
        <w:tblW w:type="dxa" w:w="8498"/>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900"/>
        <w:gridCol w:w="7598"/>
      </w:tblGrid>
      <w:tr>
        <w:trPr>
          <w:cantSplit/>
        </w:trPr>
        <w:tc>
          <w:tcPr>
            <w:tcW w:type="dxa" w:w="900"/>
            <w:tcBorders>
              <w:top w:val="single" w:color="E2D5CE" w:sz="5" w:space="1"/>
            </w:tcBorders>
            <w:tcMar>
              <w:top w:type="dxa" w:w="120"/>
              <w:left w:type="dxa" w:w="120"/>
              <w:bottom w:type="dxa" w:w="120"/>
              <w:right w:type="dxa" w:w="120"/>
            </w:tcMar>
            <w:vAlign w:val="center"/>
          </w:tcPr>
          <w:p>
            <w:pPr>
              <w:jc w:val="center"/>
            </w:pPr>
            <w:r>
              <w:rPr>
                <w:rFonts w:ascii="Georgia" w:cs="Georgia" w:eastAsia="Georgia" w:hAnsi="Georgia"/>
                <w:b w:val="false"/>
                <w:bCs w:val="false"/>
                <w:color w:val="2F6B61"/>
                <w:sz w:val="28"/>
                <w:szCs w:val="28"/>
              </w:rPr>
              <w:t xml:space="preserve">12</w:t>
            </w:r>
          </w:p>
        </w:tc>
        <w:tc>
          <w:tcPr>
            <w:tcW w:type="dxa" w:w="7598"/>
            <w:tcBorders>
              <w:top w:val="single" w:color="E2D5CE" w:sz="5" w:space="1"/>
            </w:tcBorders>
            <w:tcMar>
              <w:top w:type="dxa" w:w="120"/>
              <w:left w:type="dxa" w:w="120"/>
              <w:bottom w:type="dxa" w:w="120"/>
              <w:right w:type="dxa" w:w="120"/>
            </w:tcMar>
            <w:vAlign w:val="center"/>
          </w:tcPr>
          <w:p>
            <w:r>
              <w:rPr>
                <w:b w:val="false"/>
                <w:bCs w:val="false"/>
                <w:color w:val="2B221E"/>
                <w:sz w:val="20"/>
                <w:szCs w:val="20"/>
              </w:rPr>
              <w:t xml:space="preserve">Supplier Due Diligence &amp; Risk Assessment</w:t>
            </w:r>
          </w:p>
          <w:p>
            <w:pPr>
              <w:spacing w:before="45"/>
            </w:pPr>
            <w:r>
              <w:rPr>
                <w:sz w:val="19"/>
                <w:szCs w:val="19"/>
              </w:rPr>
              <w:t xml:space="preserve">2. Achieve the approved supplier due diligence &amp; risk assessment target. Maintain documented evidence and review progress with the responsible department each quarter. Baseline FY 2024-25 · Due FY 2028-29</w:t>
            </w:r>
          </w:p>
        </w:tc>
      </w:tr>
    </w:tbl>
    <w:tbl>
      <w:tblPr>
        <w:tblW w:type="dxa" w:w="8498"/>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900"/>
        <w:gridCol w:w="7598"/>
      </w:tblGrid>
      <w:tr>
        <w:trPr>
          <w:cantSplit/>
        </w:trPr>
        <w:tc>
          <w:tcPr>
            <w:tcW w:type="dxa" w:w="900"/>
            <w:tcBorders>
              <w:top w:val="single" w:color="E2D5CE" w:sz="5" w:space="1"/>
            </w:tcBorders>
            <w:tcMar>
              <w:top w:type="dxa" w:w="120"/>
              <w:left w:type="dxa" w:w="120"/>
              <w:bottom w:type="dxa" w:w="120"/>
              <w:right w:type="dxa" w:w="120"/>
            </w:tcMar>
            <w:vAlign w:val="center"/>
          </w:tcPr>
          <w:p>
            <w:pPr>
              <w:jc w:val="center"/>
            </w:pPr>
            <w:r>
              <w:rPr>
                <w:rFonts w:ascii="Georgia" w:cs="Georgia" w:eastAsia="Georgia" w:hAnsi="Georgia"/>
                <w:b w:val="false"/>
                <w:bCs w:val="false"/>
                <w:color w:val="2F6B61"/>
                <w:sz w:val="28"/>
                <w:szCs w:val="28"/>
              </w:rPr>
              <w:t xml:space="preserve">13</w:t>
            </w:r>
          </w:p>
        </w:tc>
        <w:tc>
          <w:tcPr>
            <w:tcW w:type="dxa" w:w="7598"/>
            <w:tcBorders>
              <w:top w:val="single" w:color="E2D5CE" w:sz="5" w:space="1"/>
            </w:tcBorders>
            <w:tcMar>
              <w:top w:type="dxa" w:w="120"/>
              <w:left w:type="dxa" w:w="120"/>
              <w:bottom w:type="dxa" w:w="120"/>
              <w:right w:type="dxa" w:w="120"/>
            </w:tcMar>
            <w:vAlign w:val="center"/>
          </w:tcPr>
          <w:p>
            <w:r>
              <w:rPr>
                <w:b w:val="false"/>
                <w:bCs w:val="false"/>
                <w:color w:val="2B221E"/>
                <w:sz w:val="20"/>
                <w:szCs w:val="20"/>
              </w:rPr>
              <w:t xml:space="preserve">Supplier Due Diligence &amp; Risk Assessment</w:t>
            </w:r>
          </w:p>
          <w:p>
            <w:pPr>
              <w:spacing w:before="45"/>
            </w:pPr>
            <w:r>
              <w:rPr>
                <w:sz w:val="19"/>
                <w:szCs w:val="19"/>
              </w:rPr>
              <w:t xml:space="preserve">3. Achieve the approved supplier due diligence &amp; risk assessment target. Maintain documented evidence and review progress with the responsible department each quarter. Baseline FY 2024-25 · Due FY 2028-29</w:t>
            </w:r>
          </w:p>
        </w:tc>
      </w:tr>
    </w:tbl>
    <w:tbl>
      <w:tblPr>
        <w:tblW w:type="dxa" w:w="8498"/>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900"/>
        <w:gridCol w:w="7598"/>
      </w:tblGrid>
      <w:tr>
        <w:trPr>
          <w:cantSplit/>
        </w:trPr>
        <w:tc>
          <w:tcPr>
            <w:tcW w:type="dxa" w:w="900"/>
            <w:tcBorders>
              <w:top w:val="single" w:color="E2D5CE" w:sz="5" w:space="1"/>
            </w:tcBorders>
            <w:tcMar>
              <w:top w:type="dxa" w:w="120"/>
              <w:left w:type="dxa" w:w="120"/>
              <w:bottom w:type="dxa" w:w="120"/>
              <w:right w:type="dxa" w:w="120"/>
            </w:tcMar>
            <w:vAlign w:val="center"/>
          </w:tcPr>
          <w:p>
            <w:pPr>
              <w:jc w:val="center"/>
            </w:pPr>
            <w:r>
              <w:rPr>
                <w:rFonts w:ascii="Georgia" w:cs="Georgia" w:eastAsia="Georgia" w:hAnsi="Georgia"/>
                <w:b w:val="false"/>
                <w:bCs w:val="false"/>
                <w:color w:val="2F6B61"/>
                <w:sz w:val="28"/>
                <w:szCs w:val="28"/>
              </w:rPr>
              <w:t xml:space="preserve">14</w:t>
            </w:r>
          </w:p>
        </w:tc>
        <w:tc>
          <w:tcPr>
            <w:tcW w:type="dxa" w:w="7598"/>
            <w:tcBorders>
              <w:top w:val="single" w:color="E2D5CE" w:sz="5" w:space="1"/>
            </w:tcBorders>
            <w:tcMar>
              <w:top w:type="dxa" w:w="120"/>
              <w:left w:type="dxa" w:w="120"/>
              <w:bottom w:type="dxa" w:w="120"/>
              <w:right w:type="dxa" w:w="120"/>
            </w:tcMar>
            <w:vAlign w:val="center"/>
          </w:tcPr>
          <w:p>
            <w:r>
              <w:rPr>
                <w:b w:val="false"/>
                <w:bCs w:val="false"/>
                <w:color w:val="2B221E"/>
                <w:sz w:val="20"/>
                <w:szCs w:val="20"/>
              </w:rPr>
              <w:t xml:space="preserve">Supplier Due Diligence &amp; Risk Assessment</w:t>
            </w:r>
          </w:p>
          <w:p>
            <w:pPr>
              <w:spacing w:before="45"/>
            </w:pPr>
            <w:r>
              <w:rPr>
                <w:sz w:val="19"/>
                <w:szCs w:val="19"/>
              </w:rPr>
              <w:t xml:space="preserve">4. Achieve the approved supplier due diligence &amp; risk assessment target. Maintain documented evidence and review progress with the responsible department each quarter. Baseline FY 2024-25 · Due FY 2028-29</w:t>
            </w:r>
          </w:p>
        </w:tc>
      </w:tr>
    </w:tbl>
    <w:tbl>
      <w:tblPr>
        <w:tblW w:type="dxa" w:w="8498"/>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900"/>
        <w:gridCol w:w="7598"/>
      </w:tblGrid>
      <w:tr>
        <w:trPr>
          <w:cantSplit/>
        </w:trPr>
        <w:tc>
          <w:tcPr>
            <w:tcW w:type="dxa" w:w="900"/>
            <w:tcBorders>
              <w:top w:val="single" w:color="E2D5CE" w:sz="5" w:space="1"/>
            </w:tcBorders>
            <w:tcMar>
              <w:top w:type="dxa" w:w="120"/>
              <w:left w:type="dxa" w:w="120"/>
              <w:bottom w:type="dxa" w:w="120"/>
              <w:right w:type="dxa" w:w="120"/>
            </w:tcMar>
            <w:vAlign w:val="center"/>
          </w:tcPr>
          <w:p>
            <w:pPr>
              <w:jc w:val="center"/>
            </w:pPr>
            <w:r>
              <w:rPr>
                <w:rFonts w:ascii="Georgia" w:cs="Georgia" w:eastAsia="Georgia" w:hAnsi="Georgia"/>
                <w:b w:val="false"/>
                <w:bCs w:val="false"/>
                <w:color w:val="2F6B61"/>
                <w:sz w:val="28"/>
                <w:szCs w:val="28"/>
              </w:rPr>
              <w:t xml:space="preserve">15</w:t>
            </w:r>
          </w:p>
        </w:tc>
        <w:tc>
          <w:tcPr>
            <w:tcW w:type="dxa" w:w="7598"/>
            <w:tcBorders>
              <w:top w:val="single" w:color="E2D5CE" w:sz="5" w:space="1"/>
            </w:tcBorders>
            <w:tcMar>
              <w:top w:type="dxa" w:w="120"/>
              <w:left w:type="dxa" w:w="120"/>
              <w:bottom w:type="dxa" w:w="120"/>
              <w:right w:type="dxa" w:w="120"/>
            </w:tcMar>
            <w:vAlign w:val="center"/>
          </w:tcPr>
          <w:p>
            <w:r>
              <w:rPr>
                <w:b w:val="false"/>
                <w:bCs w:val="false"/>
                <w:color w:val="2B221E"/>
                <w:sz w:val="20"/>
                <w:szCs w:val="20"/>
              </w:rPr>
              <w:t xml:space="preserve">Supplier Due Diligence &amp; Risk Assessment</w:t>
            </w:r>
          </w:p>
          <w:p>
            <w:pPr>
              <w:spacing w:before="45"/>
            </w:pPr>
            <w:r>
              <w:rPr>
                <w:sz w:val="19"/>
                <w:szCs w:val="19"/>
              </w:rPr>
              <w:t xml:space="preserve">5. Achieve the approved supplier due diligence &amp; risk assessment target. Maintain documented evidence and review progress with the responsible department each quarter. Baseline FY 2024-25 · Due FY 2028-29</w:t>
            </w:r>
          </w:p>
        </w:tc>
      </w:tr>
    </w:tbl>
    <w:tbl>
      <w:tblPr>
        <w:tblW w:type="dxa" w:w="8498"/>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900"/>
        <w:gridCol w:w="7598"/>
      </w:tblGrid>
      <w:tr>
        <w:trPr>
          <w:cantSplit/>
        </w:trPr>
        <w:tc>
          <w:tcPr>
            <w:tcW w:type="dxa" w:w="900"/>
            <w:tcBorders>
              <w:top w:val="single" w:color="E2D5CE" w:sz="5" w:space="1"/>
            </w:tcBorders>
            <w:tcMar>
              <w:top w:type="dxa" w:w="120"/>
              <w:left w:type="dxa" w:w="120"/>
              <w:bottom w:type="dxa" w:w="120"/>
              <w:right w:type="dxa" w:w="120"/>
            </w:tcMar>
            <w:vAlign w:val="center"/>
          </w:tcPr>
          <w:p>
            <w:pPr>
              <w:jc w:val="center"/>
            </w:pPr>
            <w:r>
              <w:rPr>
                <w:rFonts w:ascii="Georgia" w:cs="Georgia" w:eastAsia="Georgia" w:hAnsi="Georgia"/>
                <w:b w:val="false"/>
                <w:bCs w:val="false"/>
                <w:color w:val="2F6B61"/>
                <w:sz w:val="28"/>
                <w:szCs w:val="28"/>
              </w:rPr>
              <w:t xml:space="preserve">16</w:t>
            </w:r>
          </w:p>
        </w:tc>
        <w:tc>
          <w:tcPr>
            <w:tcW w:type="dxa" w:w="7598"/>
            <w:tcBorders>
              <w:top w:val="single" w:color="E2D5CE" w:sz="5" w:space="1"/>
            </w:tcBorders>
            <w:tcMar>
              <w:top w:type="dxa" w:w="120"/>
              <w:left w:type="dxa" w:w="120"/>
              <w:bottom w:type="dxa" w:w="120"/>
              <w:right w:type="dxa" w:w="120"/>
            </w:tcMar>
            <w:vAlign w:val="center"/>
          </w:tcPr>
          <w:p>
            <w:r>
              <w:rPr>
                <w:b w:val="false"/>
                <w:bCs w:val="false"/>
                <w:color w:val="2B221E"/>
                <w:sz w:val="20"/>
                <w:szCs w:val="20"/>
              </w:rPr>
              <w:t xml:space="preserve">Supplier Due Diligence &amp; Risk Assessment</w:t>
            </w:r>
          </w:p>
          <w:p>
            <w:pPr>
              <w:spacing w:before="45"/>
            </w:pPr>
            <w:r>
              <w:rPr>
                <w:sz w:val="19"/>
                <w:szCs w:val="19"/>
              </w:rPr>
              <w:t xml:space="preserve">6. Achieve the approved supplier due diligence &amp; risk assessment target. Maintain documented evidence and review progress with the responsible department each quarter. Baseline FY 2024-25 · Due FY 2028-29</w:t>
            </w:r>
          </w:p>
        </w:tc>
      </w:tr>
    </w:tbl>
    <w:tbl>
      <w:tblPr>
        <w:tblW w:type="dxa" w:w="8498"/>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900"/>
        <w:gridCol w:w="7598"/>
      </w:tblGrid>
      <w:tr>
        <w:trPr>
          <w:cantSplit/>
        </w:trPr>
        <w:tc>
          <w:tcPr>
            <w:tcW w:type="dxa" w:w="900"/>
            <w:tcBorders>
              <w:top w:val="single" w:color="E2D5CE" w:sz="5" w:space="1"/>
            </w:tcBorders>
            <w:tcMar>
              <w:top w:type="dxa" w:w="120"/>
              <w:left w:type="dxa" w:w="120"/>
              <w:bottom w:type="dxa" w:w="120"/>
              <w:right w:type="dxa" w:w="120"/>
            </w:tcMar>
            <w:vAlign w:val="center"/>
          </w:tcPr>
          <w:p>
            <w:pPr>
              <w:jc w:val="center"/>
            </w:pPr>
            <w:r>
              <w:rPr>
                <w:rFonts w:ascii="Georgia" w:cs="Georgia" w:eastAsia="Georgia" w:hAnsi="Georgia"/>
                <w:b w:val="false"/>
                <w:bCs w:val="false"/>
                <w:color w:val="2F6B61"/>
                <w:sz w:val="28"/>
                <w:szCs w:val="28"/>
              </w:rPr>
              <w:t xml:space="preserve">17</w:t>
            </w:r>
          </w:p>
        </w:tc>
        <w:tc>
          <w:tcPr>
            <w:tcW w:type="dxa" w:w="7598"/>
            <w:tcBorders>
              <w:top w:val="single" w:color="E2D5CE" w:sz="5" w:space="1"/>
            </w:tcBorders>
            <w:tcMar>
              <w:top w:type="dxa" w:w="120"/>
              <w:left w:type="dxa" w:w="120"/>
              <w:bottom w:type="dxa" w:w="120"/>
              <w:right w:type="dxa" w:w="120"/>
            </w:tcMar>
            <w:vAlign w:val="center"/>
          </w:tcPr>
          <w:p>
            <w:r>
              <w:rPr>
                <w:b w:val="false"/>
                <w:bCs w:val="false"/>
                <w:color w:val="2B221E"/>
                <w:sz w:val="20"/>
                <w:szCs w:val="20"/>
              </w:rPr>
              <w:t xml:space="preserve">Supplier Due Diligence &amp; Risk Assessment</w:t>
            </w:r>
          </w:p>
          <w:p>
            <w:pPr>
              <w:spacing w:before="45"/>
            </w:pPr>
            <w:r>
              <w:rPr>
                <w:sz w:val="19"/>
                <w:szCs w:val="19"/>
              </w:rPr>
              <w:t xml:space="preserve">7. Achieve the approved supplier due diligence &amp; risk assessment target. Maintain documented evidence and review progress with the responsible department each quarter. Baseline FY 2024-25 · Due FY 2028-29</w:t>
            </w:r>
          </w:p>
        </w:tc>
      </w:tr>
    </w:tbl>
    <w:tbl>
      <w:tblPr>
        <w:tblW w:type="dxa" w:w="8498"/>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900"/>
        <w:gridCol w:w="7598"/>
      </w:tblGrid>
      <w:tr>
        <w:trPr>
          <w:cantSplit/>
        </w:trPr>
        <w:tc>
          <w:tcPr>
            <w:tcW w:type="dxa" w:w="900"/>
            <w:tcBorders>
              <w:top w:val="single" w:color="E2D5CE" w:sz="5" w:space="1"/>
            </w:tcBorders>
            <w:tcMar>
              <w:top w:type="dxa" w:w="120"/>
              <w:left w:type="dxa" w:w="120"/>
              <w:bottom w:type="dxa" w:w="120"/>
              <w:right w:type="dxa" w:w="120"/>
            </w:tcMar>
            <w:vAlign w:val="center"/>
          </w:tcPr>
          <w:p>
            <w:pPr>
              <w:jc w:val="center"/>
            </w:pPr>
            <w:r>
              <w:rPr>
                <w:rFonts w:ascii="Georgia" w:cs="Georgia" w:eastAsia="Georgia" w:hAnsi="Georgia"/>
                <w:b w:val="false"/>
                <w:bCs w:val="false"/>
                <w:color w:val="2F6B61"/>
                <w:sz w:val="28"/>
                <w:szCs w:val="28"/>
              </w:rPr>
              <w:t xml:space="preserve">18</w:t>
            </w:r>
          </w:p>
        </w:tc>
        <w:tc>
          <w:tcPr>
            <w:tcW w:type="dxa" w:w="7598"/>
            <w:tcBorders>
              <w:top w:val="single" w:color="E2D5CE" w:sz="5" w:space="1"/>
            </w:tcBorders>
            <w:tcMar>
              <w:top w:type="dxa" w:w="120"/>
              <w:left w:type="dxa" w:w="120"/>
              <w:bottom w:type="dxa" w:w="120"/>
              <w:right w:type="dxa" w:w="120"/>
            </w:tcMar>
            <w:vAlign w:val="center"/>
          </w:tcPr>
          <w:p>
            <w:r>
              <w:rPr>
                <w:b w:val="false"/>
                <w:bCs w:val="false"/>
                <w:color w:val="2B221E"/>
                <w:sz w:val="20"/>
                <w:szCs w:val="20"/>
              </w:rPr>
              <w:t xml:space="preserve">Supplier Due Diligence &amp; Risk Assessment</w:t>
            </w:r>
          </w:p>
          <w:p>
            <w:pPr>
              <w:spacing w:before="45"/>
            </w:pPr>
            <w:r>
              <w:rPr>
                <w:sz w:val="19"/>
                <w:szCs w:val="19"/>
              </w:rPr>
              <w:t xml:space="preserve">8. Achieve the approved supplier due diligence &amp; risk assessment target. Maintain documented evidence and review progress with the responsible department each quarter. Baseline FY 2024-25 · Due FY 2028-29</w:t>
            </w:r>
          </w:p>
        </w:tc>
      </w:tr>
    </w:tbl>
    <w:tbl>
      <w:tblPr>
        <w:tblW w:type="dxa" w:w="8498"/>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900"/>
        <w:gridCol w:w="7598"/>
      </w:tblGrid>
      <w:tr>
        <w:trPr>
          <w:cantSplit/>
        </w:trPr>
        <w:tc>
          <w:tcPr>
            <w:tcW w:type="dxa" w:w="900"/>
            <w:tcBorders>
              <w:top w:val="single" w:color="E2D5CE" w:sz="5" w:space="1"/>
            </w:tcBorders>
            <w:tcMar>
              <w:top w:type="dxa" w:w="120"/>
              <w:left w:type="dxa" w:w="120"/>
              <w:bottom w:type="dxa" w:w="120"/>
              <w:right w:type="dxa" w:w="120"/>
            </w:tcMar>
            <w:vAlign w:val="center"/>
          </w:tcPr>
          <w:p>
            <w:pPr>
              <w:jc w:val="center"/>
            </w:pPr>
            <w:r>
              <w:rPr>
                <w:rFonts w:ascii="Georgia" w:cs="Georgia" w:eastAsia="Georgia" w:hAnsi="Georgia"/>
                <w:b w:val="false"/>
                <w:bCs w:val="false"/>
                <w:color w:val="2F6B61"/>
                <w:sz w:val="28"/>
                <w:szCs w:val="28"/>
              </w:rPr>
              <w:t xml:space="preserve">19</w:t>
            </w:r>
          </w:p>
        </w:tc>
        <w:tc>
          <w:tcPr>
            <w:tcW w:type="dxa" w:w="7598"/>
            <w:tcBorders>
              <w:top w:val="single" w:color="E2D5CE" w:sz="5" w:space="1"/>
            </w:tcBorders>
            <w:tcMar>
              <w:top w:type="dxa" w:w="120"/>
              <w:left w:type="dxa" w:w="120"/>
              <w:bottom w:type="dxa" w:w="120"/>
              <w:right w:type="dxa" w:w="120"/>
            </w:tcMar>
            <w:vAlign w:val="center"/>
          </w:tcPr>
          <w:p>
            <w:r>
              <w:rPr>
                <w:b w:val="false"/>
                <w:bCs w:val="false"/>
                <w:color w:val="2B221E"/>
                <w:sz w:val="20"/>
                <w:szCs w:val="20"/>
              </w:rPr>
              <w:t xml:space="preserve">Supplier Due Diligence &amp; Risk Assessment</w:t>
            </w:r>
          </w:p>
          <w:p>
            <w:pPr>
              <w:spacing w:before="45"/>
            </w:pPr>
            <w:r>
              <w:rPr>
                <w:sz w:val="19"/>
                <w:szCs w:val="19"/>
              </w:rPr>
              <w:t xml:space="preserve">9. Achieve the approved supplier due diligence &amp; risk assessment target. Maintain documented evidence and review progress with the responsible department each quarter. Baseline FY 2024-25 · Due FY 2028-29</w:t>
            </w:r>
          </w:p>
        </w:tc>
      </w:tr>
    </w:tbl>
    <w:tbl>
      <w:tblPr>
        <w:tblW w:type="dxa" w:w="8498"/>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900"/>
        <w:gridCol w:w="7598"/>
      </w:tblGrid>
      <w:tr>
        <w:trPr>
          <w:cantSplit/>
        </w:trPr>
        <w:tc>
          <w:tcPr>
            <w:tcW w:type="dxa" w:w="900"/>
            <w:tcBorders>
              <w:top w:val="single" w:color="E2D5CE" w:sz="5" w:space="1"/>
            </w:tcBorders>
            <w:tcMar>
              <w:top w:type="dxa" w:w="120"/>
              <w:left w:type="dxa" w:w="120"/>
              <w:bottom w:type="dxa" w:w="120"/>
              <w:right w:type="dxa" w:w="120"/>
            </w:tcMar>
            <w:vAlign w:val="center"/>
          </w:tcPr>
          <w:p>
            <w:pPr>
              <w:jc w:val="center"/>
            </w:pPr>
            <w:r>
              <w:rPr>
                <w:rFonts w:ascii="Georgia" w:cs="Georgia" w:eastAsia="Georgia" w:hAnsi="Georgia"/>
                <w:b w:val="false"/>
                <w:bCs w:val="false"/>
                <w:color w:val="2F6B61"/>
                <w:sz w:val="28"/>
                <w:szCs w:val="28"/>
              </w:rPr>
              <w:t xml:space="preserve">20</w:t>
            </w:r>
          </w:p>
        </w:tc>
        <w:tc>
          <w:tcPr>
            <w:tcW w:type="dxa" w:w="7598"/>
            <w:tcBorders>
              <w:top w:val="single" w:color="E2D5CE" w:sz="5" w:space="1"/>
            </w:tcBorders>
            <w:tcMar>
              <w:top w:type="dxa" w:w="120"/>
              <w:left w:type="dxa" w:w="120"/>
              <w:bottom w:type="dxa" w:w="120"/>
              <w:right w:type="dxa" w:w="120"/>
            </w:tcMar>
            <w:vAlign w:val="center"/>
          </w:tcPr>
          <w:p>
            <w:r>
              <w:rPr>
                <w:b w:val="false"/>
                <w:bCs w:val="false"/>
                <w:color w:val="2B221E"/>
                <w:sz w:val="20"/>
                <w:szCs w:val="20"/>
              </w:rPr>
              <w:t xml:space="preserve">Supplier Due Diligence &amp; Risk Assessment</w:t>
            </w:r>
          </w:p>
          <w:p>
            <w:pPr>
              <w:spacing w:before="45"/>
            </w:pPr>
            <w:r>
              <w:rPr>
                <w:sz w:val="19"/>
                <w:szCs w:val="19"/>
              </w:rPr>
              <w:t xml:space="preserve">10. Achieve the approved supplier due diligence &amp; risk assessment target. Maintain documented evidence and review progress with the responsible department each quarter. Baseline FY 2024-25 · Due FY 2028-29</w:t>
            </w:r>
          </w:p>
        </w:tc>
      </w:tr>
    </w:tbl>
    <w:tbl>
      <w:tblPr>
        <w:tblW w:type="dxa" w:w="8498"/>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900"/>
        <w:gridCol w:w="7598"/>
      </w:tblGrid>
      <w:tr>
        <w:trPr>
          <w:cantSplit/>
        </w:trPr>
        <w:tc>
          <w:tcPr>
            <w:tcW w:type="dxa" w:w="900"/>
            <w:tcBorders>
              <w:top w:val="single" w:color="E2D5CE" w:sz="5" w:space="1"/>
            </w:tcBorders>
            <w:tcMar>
              <w:top w:type="dxa" w:w="120"/>
              <w:left w:type="dxa" w:w="120"/>
              <w:bottom w:type="dxa" w:w="120"/>
              <w:right w:type="dxa" w:w="120"/>
            </w:tcMar>
            <w:vAlign w:val="center"/>
          </w:tcPr>
          <w:p>
            <w:pPr>
              <w:jc w:val="center"/>
            </w:pPr>
            <w:r>
              <w:rPr>
                <w:rFonts w:ascii="Georgia" w:cs="Georgia" w:eastAsia="Georgia" w:hAnsi="Georgia"/>
                <w:b w:val="false"/>
                <w:bCs w:val="false"/>
                <w:color w:val="2F6B61"/>
                <w:sz w:val="28"/>
                <w:szCs w:val="28"/>
              </w:rPr>
              <w:t xml:space="preserve">21</w:t>
            </w:r>
          </w:p>
        </w:tc>
        <w:tc>
          <w:tcPr>
            <w:tcW w:type="dxa" w:w="7598"/>
            <w:tcBorders>
              <w:top w:val="single" w:color="E2D5CE" w:sz="5" w:space="1"/>
            </w:tcBorders>
            <w:tcMar>
              <w:top w:type="dxa" w:w="120"/>
              <w:left w:type="dxa" w:w="120"/>
              <w:bottom w:type="dxa" w:w="120"/>
              <w:right w:type="dxa" w:w="120"/>
            </w:tcMar>
            <w:vAlign w:val="center"/>
          </w:tcPr>
          <w:p>
            <w:r>
              <w:rPr>
                <w:b w:val="false"/>
                <w:bCs w:val="false"/>
                <w:color w:val="2B221E"/>
                <w:sz w:val="20"/>
                <w:szCs w:val="20"/>
              </w:rPr>
              <w:t xml:space="preserve">Environmental Requirements for Suppliers</w:t>
            </w:r>
          </w:p>
          <w:p>
            <w:pPr>
              <w:spacing w:before="45"/>
            </w:pPr>
            <w:r>
              <w:rPr>
                <w:sz w:val="19"/>
                <w:szCs w:val="19"/>
              </w:rPr>
              <w:t xml:space="preserve">1. Achieve the approved environmental requirements for suppliers target. Maintain documented evidence and review progress with the responsible department each quarter. Baseline FY 2024-25 · Due FY 2028-29</w:t>
            </w:r>
          </w:p>
        </w:tc>
      </w:tr>
    </w:tbl>
    <w:tbl>
      <w:tblPr>
        <w:tblW w:type="dxa" w:w="8498"/>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900"/>
        <w:gridCol w:w="7598"/>
      </w:tblGrid>
      <w:tr>
        <w:trPr>
          <w:cantSplit/>
        </w:trPr>
        <w:tc>
          <w:tcPr>
            <w:tcW w:type="dxa" w:w="900"/>
            <w:tcBorders>
              <w:top w:val="single" w:color="E2D5CE" w:sz="5" w:space="1"/>
            </w:tcBorders>
            <w:tcMar>
              <w:top w:type="dxa" w:w="120"/>
              <w:left w:type="dxa" w:w="120"/>
              <w:bottom w:type="dxa" w:w="120"/>
              <w:right w:type="dxa" w:w="120"/>
            </w:tcMar>
            <w:vAlign w:val="center"/>
          </w:tcPr>
          <w:p>
            <w:pPr>
              <w:jc w:val="center"/>
            </w:pPr>
            <w:r>
              <w:rPr>
                <w:rFonts w:ascii="Georgia" w:cs="Georgia" w:eastAsia="Georgia" w:hAnsi="Georgia"/>
                <w:b w:val="false"/>
                <w:bCs w:val="false"/>
                <w:color w:val="2F6B61"/>
                <w:sz w:val="28"/>
                <w:szCs w:val="28"/>
              </w:rPr>
              <w:t xml:space="preserve">22</w:t>
            </w:r>
          </w:p>
        </w:tc>
        <w:tc>
          <w:tcPr>
            <w:tcW w:type="dxa" w:w="7598"/>
            <w:tcBorders>
              <w:top w:val="single" w:color="E2D5CE" w:sz="5" w:space="1"/>
            </w:tcBorders>
            <w:tcMar>
              <w:top w:type="dxa" w:w="120"/>
              <w:left w:type="dxa" w:w="120"/>
              <w:bottom w:type="dxa" w:w="120"/>
              <w:right w:type="dxa" w:w="120"/>
            </w:tcMar>
            <w:vAlign w:val="center"/>
          </w:tcPr>
          <w:p>
            <w:r>
              <w:rPr>
                <w:b w:val="false"/>
                <w:bCs w:val="false"/>
                <w:color w:val="2B221E"/>
                <w:sz w:val="20"/>
                <w:szCs w:val="20"/>
              </w:rPr>
              <w:t xml:space="preserve">Environmental Requirements for Suppliers</w:t>
            </w:r>
          </w:p>
          <w:p>
            <w:pPr>
              <w:spacing w:before="45"/>
            </w:pPr>
            <w:r>
              <w:rPr>
                <w:sz w:val="19"/>
                <w:szCs w:val="19"/>
              </w:rPr>
              <w:t xml:space="preserve">2. Achieve the approved environmental requirements for suppliers target. Maintain documented evidence and review progress with the responsible department each quarter. Baseline FY 2024-25 · Due FY 2028-29</w:t>
            </w:r>
          </w:p>
        </w:tc>
      </w:tr>
    </w:tbl>
    <w:tbl>
      <w:tblPr>
        <w:tblW w:type="dxa" w:w="8498"/>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900"/>
        <w:gridCol w:w="7598"/>
      </w:tblGrid>
      <w:tr>
        <w:trPr>
          <w:cantSplit/>
        </w:trPr>
        <w:tc>
          <w:tcPr>
            <w:tcW w:type="dxa" w:w="900"/>
            <w:tcBorders>
              <w:top w:val="single" w:color="E2D5CE" w:sz="5" w:space="1"/>
            </w:tcBorders>
            <w:tcMar>
              <w:top w:type="dxa" w:w="120"/>
              <w:left w:type="dxa" w:w="120"/>
              <w:bottom w:type="dxa" w:w="120"/>
              <w:right w:type="dxa" w:w="120"/>
            </w:tcMar>
            <w:vAlign w:val="center"/>
          </w:tcPr>
          <w:p>
            <w:pPr>
              <w:jc w:val="center"/>
            </w:pPr>
            <w:r>
              <w:rPr>
                <w:rFonts w:ascii="Georgia" w:cs="Georgia" w:eastAsia="Georgia" w:hAnsi="Georgia"/>
                <w:b w:val="false"/>
                <w:bCs w:val="false"/>
                <w:color w:val="2F6B61"/>
                <w:sz w:val="28"/>
                <w:szCs w:val="28"/>
              </w:rPr>
              <w:t xml:space="preserve">23</w:t>
            </w:r>
          </w:p>
        </w:tc>
        <w:tc>
          <w:tcPr>
            <w:tcW w:type="dxa" w:w="7598"/>
            <w:tcBorders>
              <w:top w:val="single" w:color="E2D5CE" w:sz="5" w:space="1"/>
            </w:tcBorders>
            <w:tcMar>
              <w:top w:type="dxa" w:w="120"/>
              <w:left w:type="dxa" w:w="120"/>
              <w:bottom w:type="dxa" w:w="120"/>
              <w:right w:type="dxa" w:w="120"/>
            </w:tcMar>
            <w:vAlign w:val="center"/>
          </w:tcPr>
          <w:p>
            <w:r>
              <w:rPr>
                <w:b w:val="false"/>
                <w:bCs w:val="false"/>
                <w:color w:val="2B221E"/>
                <w:sz w:val="20"/>
                <w:szCs w:val="20"/>
              </w:rPr>
              <w:t xml:space="preserve">Environmental Requirements for Suppliers</w:t>
            </w:r>
          </w:p>
          <w:p>
            <w:pPr>
              <w:spacing w:before="45"/>
            </w:pPr>
            <w:r>
              <w:rPr>
                <w:sz w:val="19"/>
                <w:szCs w:val="19"/>
              </w:rPr>
              <w:t xml:space="preserve">3. Achieve the approved environmental requirements for suppliers target. Maintain documented evidence and review progress with the responsible department each quarter. Baseline FY 2024-25 · Due FY 2028-29</w:t>
            </w:r>
          </w:p>
        </w:tc>
      </w:tr>
    </w:tbl>
    <w:tbl>
      <w:tblPr>
        <w:tblW w:type="dxa" w:w="8498"/>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900"/>
        <w:gridCol w:w="7598"/>
      </w:tblGrid>
      <w:tr>
        <w:trPr>
          <w:cantSplit/>
        </w:trPr>
        <w:tc>
          <w:tcPr>
            <w:tcW w:type="dxa" w:w="900"/>
            <w:tcBorders>
              <w:top w:val="single" w:color="E2D5CE" w:sz="5" w:space="1"/>
            </w:tcBorders>
            <w:tcMar>
              <w:top w:type="dxa" w:w="120"/>
              <w:left w:type="dxa" w:w="120"/>
              <w:bottom w:type="dxa" w:w="120"/>
              <w:right w:type="dxa" w:w="120"/>
            </w:tcMar>
            <w:vAlign w:val="center"/>
          </w:tcPr>
          <w:p>
            <w:pPr>
              <w:jc w:val="center"/>
            </w:pPr>
            <w:r>
              <w:rPr>
                <w:rFonts w:ascii="Georgia" w:cs="Georgia" w:eastAsia="Georgia" w:hAnsi="Georgia"/>
                <w:b w:val="false"/>
                <w:bCs w:val="false"/>
                <w:color w:val="2F6B61"/>
                <w:sz w:val="28"/>
                <w:szCs w:val="28"/>
              </w:rPr>
              <w:t xml:space="preserve">24</w:t>
            </w:r>
          </w:p>
        </w:tc>
        <w:tc>
          <w:tcPr>
            <w:tcW w:type="dxa" w:w="7598"/>
            <w:tcBorders>
              <w:top w:val="single" w:color="E2D5CE" w:sz="5" w:space="1"/>
            </w:tcBorders>
            <w:tcMar>
              <w:top w:type="dxa" w:w="120"/>
              <w:left w:type="dxa" w:w="120"/>
              <w:bottom w:type="dxa" w:w="120"/>
              <w:right w:type="dxa" w:w="120"/>
            </w:tcMar>
            <w:vAlign w:val="center"/>
          </w:tcPr>
          <w:p>
            <w:r>
              <w:rPr>
                <w:b w:val="false"/>
                <w:bCs w:val="false"/>
                <w:color w:val="2B221E"/>
                <w:sz w:val="20"/>
                <w:szCs w:val="20"/>
              </w:rPr>
              <w:t xml:space="preserve">Environmental Requirements for Suppliers</w:t>
            </w:r>
          </w:p>
          <w:p>
            <w:pPr>
              <w:spacing w:before="45"/>
            </w:pPr>
            <w:r>
              <w:rPr>
                <w:sz w:val="19"/>
                <w:szCs w:val="19"/>
              </w:rPr>
              <w:t xml:space="preserve">4. Achieve the approved environmental requirements for suppliers target. Maintain documented evidence and review progress with the responsible department each quarter. Baseline FY 2024-25 · Due FY 2028-29</w:t>
            </w:r>
          </w:p>
        </w:tc>
      </w:tr>
    </w:tbl>
    <w:tbl>
      <w:tblPr>
        <w:tblW w:type="dxa" w:w="8498"/>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900"/>
        <w:gridCol w:w="7598"/>
      </w:tblGrid>
      <w:tr>
        <w:trPr>
          <w:cantSplit/>
        </w:trPr>
        <w:tc>
          <w:tcPr>
            <w:tcW w:type="dxa" w:w="900"/>
            <w:tcBorders>
              <w:top w:val="single" w:color="E2D5CE" w:sz="5" w:space="1"/>
            </w:tcBorders>
            <w:tcMar>
              <w:top w:type="dxa" w:w="120"/>
              <w:left w:type="dxa" w:w="120"/>
              <w:bottom w:type="dxa" w:w="120"/>
              <w:right w:type="dxa" w:w="120"/>
            </w:tcMar>
            <w:vAlign w:val="center"/>
          </w:tcPr>
          <w:p>
            <w:pPr>
              <w:jc w:val="center"/>
            </w:pPr>
            <w:r>
              <w:rPr>
                <w:rFonts w:ascii="Georgia" w:cs="Georgia" w:eastAsia="Georgia" w:hAnsi="Georgia"/>
                <w:b w:val="false"/>
                <w:bCs w:val="false"/>
                <w:color w:val="2F6B61"/>
                <w:sz w:val="28"/>
                <w:szCs w:val="28"/>
              </w:rPr>
              <w:t xml:space="preserve">25</w:t>
            </w:r>
          </w:p>
        </w:tc>
        <w:tc>
          <w:tcPr>
            <w:tcW w:type="dxa" w:w="7598"/>
            <w:tcBorders>
              <w:top w:val="single" w:color="E2D5CE" w:sz="5" w:space="1"/>
            </w:tcBorders>
            <w:tcMar>
              <w:top w:type="dxa" w:w="120"/>
              <w:left w:type="dxa" w:w="120"/>
              <w:bottom w:type="dxa" w:w="120"/>
              <w:right w:type="dxa" w:w="120"/>
            </w:tcMar>
            <w:vAlign w:val="center"/>
          </w:tcPr>
          <w:p>
            <w:r>
              <w:rPr>
                <w:b w:val="false"/>
                <w:bCs w:val="false"/>
                <w:color w:val="2B221E"/>
                <w:sz w:val="20"/>
                <w:szCs w:val="20"/>
              </w:rPr>
              <w:t xml:space="preserve">Environmental Requirements for Suppliers</w:t>
            </w:r>
          </w:p>
          <w:p>
            <w:pPr>
              <w:spacing w:before="45"/>
            </w:pPr>
            <w:r>
              <w:rPr>
                <w:sz w:val="19"/>
                <w:szCs w:val="19"/>
              </w:rPr>
              <w:t xml:space="preserve">5. Achieve the approved environmental requirements for suppliers target. Maintain documented evidence and review progress with the responsible department each quarter. Baseline FY 2024-25 · Due FY 2028-29</w:t>
            </w:r>
          </w:p>
        </w:tc>
      </w:tr>
    </w:tbl>
    <w:tbl>
      <w:tblPr>
        <w:tblW w:type="dxa" w:w="8498"/>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900"/>
        <w:gridCol w:w="7598"/>
      </w:tblGrid>
      <w:tr>
        <w:trPr>
          <w:cantSplit/>
        </w:trPr>
        <w:tc>
          <w:tcPr>
            <w:tcW w:type="dxa" w:w="900"/>
            <w:tcBorders>
              <w:top w:val="single" w:color="E2D5CE" w:sz="5" w:space="1"/>
            </w:tcBorders>
            <w:tcMar>
              <w:top w:type="dxa" w:w="120"/>
              <w:left w:type="dxa" w:w="120"/>
              <w:bottom w:type="dxa" w:w="120"/>
              <w:right w:type="dxa" w:w="120"/>
            </w:tcMar>
            <w:vAlign w:val="center"/>
          </w:tcPr>
          <w:p>
            <w:pPr>
              <w:jc w:val="center"/>
            </w:pPr>
            <w:r>
              <w:rPr>
                <w:rFonts w:ascii="Georgia" w:cs="Georgia" w:eastAsia="Georgia" w:hAnsi="Georgia"/>
                <w:b w:val="false"/>
                <w:bCs w:val="false"/>
                <w:color w:val="2F6B61"/>
                <w:sz w:val="28"/>
                <w:szCs w:val="28"/>
              </w:rPr>
              <w:t xml:space="preserve">26</w:t>
            </w:r>
          </w:p>
        </w:tc>
        <w:tc>
          <w:tcPr>
            <w:tcW w:type="dxa" w:w="7598"/>
            <w:tcBorders>
              <w:top w:val="single" w:color="E2D5CE" w:sz="5" w:space="1"/>
            </w:tcBorders>
            <w:tcMar>
              <w:top w:type="dxa" w:w="120"/>
              <w:left w:type="dxa" w:w="120"/>
              <w:bottom w:type="dxa" w:w="120"/>
              <w:right w:type="dxa" w:w="120"/>
            </w:tcMar>
            <w:vAlign w:val="center"/>
          </w:tcPr>
          <w:p>
            <w:r>
              <w:rPr>
                <w:b w:val="false"/>
                <w:bCs w:val="false"/>
                <w:color w:val="2B221E"/>
                <w:sz w:val="20"/>
                <w:szCs w:val="20"/>
              </w:rPr>
              <w:t xml:space="preserve">Environmental Requirements for Suppliers</w:t>
            </w:r>
          </w:p>
          <w:p>
            <w:pPr>
              <w:spacing w:before="45"/>
            </w:pPr>
            <w:r>
              <w:rPr>
                <w:sz w:val="19"/>
                <w:szCs w:val="19"/>
              </w:rPr>
              <w:t xml:space="preserve">6. Achieve the approved environmental requirements for suppliers target. Maintain documented evidence and review progress with the responsible department each quarter. Baseline FY 2024-25 · Due FY 2028-29</w:t>
            </w:r>
          </w:p>
        </w:tc>
      </w:tr>
    </w:tbl>
    <w:tbl>
      <w:tblPr>
        <w:tblW w:type="dxa" w:w="8498"/>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900"/>
        <w:gridCol w:w="7598"/>
      </w:tblGrid>
      <w:tr>
        <w:trPr>
          <w:cantSplit/>
        </w:trPr>
        <w:tc>
          <w:tcPr>
            <w:tcW w:type="dxa" w:w="900"/>
            <w:tcBorders>
              <w:top w:val="single" w:color="E2D5CE" w:sz="5" w:space="1"/>
            </w:tcBorders>
            <w:tcMar>
              <w:top w:type="dxa" w:w="120"/>
              <w:left w:type="dxa" w:w="120"/>
              <w:bottom w:type="dxa" w:w="120"/>
              <w:right w:type="dxa" w:w="120"/>
            </w:tcMar>
            <w:vAlign w:val="center"/>
          </w:tcPr>
          <w:p>
            <w:pPr>
              <w:jc w:val="center"/>
            </w:pPr>
            <w:r>
              <w:rPr>
                <w:rFonts w:ascii="Georgia" w:cs="Georgia" w:eastAsia="Georgia" w:hAnsi="Georgia"/>
                <w:b w:val="false"/>
                <w:bCs w:val="false"/>
                <w:color w:val="2F6B61"/>
                <w:sz w:val="28"/>
                <w:szCs w:val="28"/>
              </w:rPr>
              <w:t xml:space="preserve">27</w:t>
            </w:r>
          </w:p>
        </w:tc>
        <w:tc>
          <w:tcPr>
            <w:tcW w:type="dxa" w:w="7598"/>
            <w:tcBorders>
              <w:top w:val="single" w:color="E2D5CE" w:sz="5" w:space="1"/>
            </w:tcBorders>
            <w:tcMar>
              <w:top w:type="dxa" w:w="120"/>
              <w:left w:type="dxa" w:w="120"/>
              <w:bottom w:type="dxa" w:w="120"/>
              <w:right w:type="dxa" w:w="120"/>
            </w:tcMar>
            <w:vAlign w:val="center"/>
          </w:tcPr>
          <w:p>
            <w:r>
              <w:rPr>
                <w:b w:val="false"/>
                <w:bCs w:val="false"/>
                <w:color w:val="2B221E"/>
                <w:sz w:val="20"/>
                <w:szCs w:val="20"/>
              </w:rPr>
              <w:t xml:space="preserve">Environmental Requirements for Suppliers</w:t>
            </w:r>
          </w:p>
          <w:p>
            <w:pPr>
              <w:spacing w:before="45"/>
            </w:pPr>
            <w:r>
              <w:rPr>
                <w:sz w:val="19"/>
                <w:szCs w:val="19"/>
              </w:rPr>
              <w:t xml:space="preserve">7. Achieve the approved environmental requirements for suppliers target. Maintain documented evidence and review progress with the responsible department each quarter. Baseline FY 2024-25 · Due FY 2028-29</w:t>
            </w:r>
          </w:p>
        </w:tc>
      </w:tr>
    </w:tbl>
    <w:tbl>
      <w:tblPr>
        <w:tblW w:type="dxa" w:w="8498"/>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900"/>
        <w:gridCol w:w="7598"/>
      </w:tblGrid>
      <w:tr>
        <w:trPr>
          <w:cantSplit/>
        </w:trPr>
        <w:tc>
          <w:tcPr>
            <w:tcW w:type="dxa" w:w="900"/>
            <w:tcBorders>
              <w:top w:val="single" w:color="E2D5CE" w:sz="5" w:space="1"/>
            </w:tcBorders>
            <w:tcMar>
              <w:top w:type="dxa" w:w="120"/>
              <w:left w:type="dxa" w:w="120"/>
              <w:bottom w:type="dxa" w:w="120"/>
              <w:right w:type="dxa" w:w="120"/>
            </w:tcMar>
            <w:vAlign w:val="center"/>
          </w:tcPr>
          <w:p>
            <w:pPr>
              <w:jc w:val="center"/>
            </w:pPr>
            <w:r>
              <w:rPr>
                <w:rFonts w:ascii="Georgia" w:cs="Georgia" w:eastAsia="Georgia" w:hAnsi="Georgia"/>
                <w:b w:val="false"/>
                <w:bCs w:val="false"/>
                <w:color w:val="2F6B61"/>
                <w:sz w:val="28"/>
                <w:szCs w:val="28"/>
              </w:rPr>
              <w:t xml:space="preserve">28</w:t>
            </w:r>
          </w:p>
        </w:tc>
        <w:tc>
          <w:tcPr>
            <w:tcW w:type="dxa" w:w="7598"/>
            <w:tcBorders>
              <w:top w:val="single" w:color="E2D5CE" w:sz="5" w:space="1"/>
            </w:tcBorders>
            <w:tcMar>
              <w:top w:type="dxa" w:w="120"/>
              <w:left w:type="dxa" w:w="120"/>
              <w:bottom w:type="dxa" w:w="120"/>
              <w:right w:type="dxa" w:w="120"/>
            </w:tcMar>
            <w:vAlign w:val="center"/>
          </w:tcPr>
          <w:p>
            <w:r>
              <w:rPr>
                <w:b w:val="false"/>
                <w:bCs w:val="false"/>
                <w:color w:val="2B221E"/>
                <w:sz w:val="20"/>
                <w:szCs w:val="20"/>
              </w:rPr>
              <w:t xml:space="preserve">Environmental Requirements for Suppliers</w:t>
            </w:r>
          </w:p>
          <w:p>
            <w:pPr>
              <w:spacing w:before="45"/>
            </w:pPr>
            <w:r>
              <w:rPr>
                <w:sz w:val="19"/>
                <w:szCs w:val="19"/>
              </w:rPr>
              <w:t xml:space="preserve">8. Achieve the approved environmental requirements for suppliers target. Maintain documented evidence and review progress with the responsible department each quarter. Baseline FY 2024-25 · Due FY 2028-29</w:t>
            </w:r>
          </w:p>
        </w:tc>
      </w:tr>
    </w:tbl>
    <w:tbl>
      <w:tblPr>
        <w:tblW w:type="dxa" w:w="8498"/>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900"/>
        <w:gridCol w:w="7598"/>
      </w:tblGrid>
      <w:tr>
        <w:trPr>
          <w:cantSplit/>
        </w:trPr>
        <w:tc>
          <w:tcPr>
            <w:tcW w:type="dxa" w:w="900"/>
            <w:tcBorders>
              <w:top w:val="single" w:color="E2D5CE" w:sz="5" w:space="1"/>
            </w:tcBorders>
            <w:tcMar>
              <w:top w:type="dxa" w:w="120"/>
              <w:left w:type="dxa" w:w="120"/>
              <w:bottom w:type="dxa" w:w="120"/>
              <w:right w:type="dxa" w:w="120"/>
            </w:tcMar>
            <w:vAlign w:val="center"/>
          </w:tcPr>
          <w:p>
            <w:pPr>
              <w:jc w:val="center"/>
            </w:pPr>
            <w:r>
              <w:rPr>
                <w:rFonts w:ascii="Georgia" w:cs="Georgia" w:eastAsia="Georgia" w:hAnsi="Georgia"/>
                <w:b w:val="false"/>
                <w:bCs w:val="false"/>
                <w:color w:val="2F6B61"/>
                <w:sz w:val="28"/>
                <w:szCs w:val="28"/>
              </w:rPr>
              <w:t xml:space="preserve">29</w:t>
            </w:r>
          </w:p>
        </w:tc>
        <w:tc>
          <w:tcPr>
            <w:tcW w:type="dxa" w:w="7598"/>
            <w:tcBorders>
              <w:top w:val="single" w:color="E2D5CE" w:sz="5" w:space="1"/>
            </w:tcBorders>
            <w:tcMar>
              <w:top w:type="dxa" w:w="120"/>
              <w:left w:type="dxa" w:w="120"/>
              <w:bottom w:type="dxa" w:w="120"/>
              <w:right w:type="dxa" w:w="120"/>
            </w:tcMar>
            <w:vAlign w:val="center"/>
          </w:tcPr>
          <w:p>
            <w:r>
              <w:rPr>
                <w:b w:val="false"/>
                <w:bCs w:val="false"/>
                <w:color w:val="2B221E"/>
                <w:sz w:val="20"/>
                <w:szCs w:val="20"/>
              </w:rPr>
              <w:t xml:space="preserve">Environmental Requirements for Suppliers</w:t>
            </w:r>
          </w:p>
          <w:p>
            <w:pPr>
              <w:spacing w:before="45"/>
            </w:pPr>
            <w:r>
              <w:rPr>
                <w:sz w:val="19"/>
                <w:szCs w:val="19"/>
              </w:rPr>
              <w:t xml:space="preserve">9. Achieve the approved environmental requirements for suppliers target. Maintain documented evidence and review progress with the responsible department each quarter. Baseline FY 2024-25 · Due FY 2028-29</w:t>
            </w:r>
          </w:p>
        </w:tc>
      </w:tr>
    </w:tbl>
    <w:tbl>
      <w:tblPr>
        <w:tblW w:type="dxa" w:w="8498"/>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900"/>
        <w:gridCol w:w="7598"/>
      </w:tblGrid>
      <w:tr>
        <w:trPr>
          <w:cantSplit/>
        </w:trPr>
        <w:tc>
          <w:tcPr>
            <w:tcW w:type="dxa" w:w="900"/>
            <w:tcBorders>
              <w:top w:val="single" w:color="E2D5CE" w:sz="5" w:space="1"/>
            </w:tcBorders>
            <w:tcMar>
              <w:top w:type="dxa" w:w="120"/>
              <w:left w:type="dxa" w:w="120"/>
              <w:bottom w:type="dxa" w:w="120"/>
              <w:right w:type="dxa" w:w="120"/>
            </w:tcMar>
            <w:vAlign w:val="center"/>
          </w:tcPr>
          <w:p>
            <w:pPr>
              <w:jc w:val="center"/>
            </w:pPr>
            <w:r>
              <w:rPr>
                <w:rFonts w:ascii="Georgia" w:cs="Georgia" w:eastAsia="Georgia" w:hAnsi="Georgia"/>
                <w:b w:val="false"/>
                <w:bCs w:val="false"/>
                <w:color w:val="2F6B61"/>
                <w:sz w:val="28"/>
                <w:szCs w:val="28"/>
              </w:rPr>
              <w:t xml:space="preserve">30</w:t>
            </w:r>
          </w:p>
        </w:tc>
        <w:tc>
          <w:tcPr>
            <w:tcW w:type="dxa" w:w="7598"/>
            <w:tcBorders>
              <w:top w:val="single" w:color="E2D5CE" w:sz="5" w:space="1"/>
            </w:tcBorders>
            <w:tcMar>
              <w:top w:type="dxa" w:w="120"/>
              <w:left w:type="dxa" w:w="120"/>
              <w:bottom w:type="dxa" w:w="120"/>
              <w:right w:type="dxa" w:w="120"/>
            </w:tcMar>
            <w:vAlign w:val="center"/>
          </w:tcPr>
          <w:p>
            <w:r>
              <w:rPr>
                <w:b w:val="false"/>
                <w:bCs w:val="false"/>
                <w:color w:val="2B221E"/>
                <w:sz w:val="20"/>
                <w:szCs w:val="20"/>
              </w:rPr>
              <w:t xml:space="preserve">Environmental Requirements for Suppliers</w:t>
            </w:r>
          </w:p>
          <w:p>
            <w:pPr>
              <w:spacing w:before="45"/>
            </w:pPr>
            <w:r>
              <w:rPr>
                <w:sz w:val="19"/>
                <w:szCs w:val="19"/>
              </w:rPr>
              <w:t xml:space="preserve">10. Achieve the approved environmental requirements for suppliers target. Maintain documented evidence and review progress with the responsible department each quarter. Baseline FY 2024-25 · Due FY 2028-29</w:t>
            </w:r>
          </w:p>
        </w:tc>
      </w:tr>
    </w:tbl>
    <w:p>
      <w:pPr>
        <w:spacing w:before="165"/>
      </w:pPr>
      <w:r>
        <w:rPr>
          <w:sz w:val="2"/>
          <w:szCs w:val="2"/>
        </w:rPr>
        <w:t xml:space="preserve"> </w:t>
      </w:r>
    </w:p>
    <w:p>
      <w:pPr>
        <w:pStyle w:val="PolicyHeading"/>
        <w:pBdr>
          <w:bottom w:val="single" w:color="5E443A" w:sz="4" w:space="1"/>
        </w:pBdr>
        <w:spacing w:after="180" w:before="260"/>
        <w:jc w:val="left"/>
      </w:pPr>
      <w:bookmarkStart w:name="standard-sdg" w:id="1"/>
      <w:bookmarkEnd w:id="1"/>
      <w:r>
        <w:rPr>
          <w:rFonts w:ascii="Book Antiqua" w:cs="Book Antiqua" w:eastAsia="Book Antiqua" w:hAnsi="Book Antiqua"/>
          <w:color w:val="796B63"/>
          <w:sz w:val="20"/>
          <w:szCs w:val="20"/>
        </w:rPr>
        <w:t xml:space="preserve">07   </w:t>
      </w:r>
      <w:r>
        <w:rPr>
          <w:rFonts w:ascii="Book Antiqua" w:cs="Book Antiqua" w:eastAsia="Book Antiqua" w:hAnsi="Book Antiqua"/>
          <w:b/>
          <w:bCs/>
          <w:color w:val="3C2B25"/>
          <w:sz w:val="34"/>
          <w:szCs w:val="34"/>
        </w:rPr>
        <w:t xml:space="preserve">SDG Alignment</w:t>
      </w:r>
    </w:p>
    <w:p>
      <w:pPr>
        <w:spacing w:after="130"/>
      </w:pPr>
      <w:r>
        <w:rPr>
          <w:rFonts w:ascii="Book Antiqua" w:cs="Book Antiqua" w:eastAsia="Book Antiqua" w:hAnsi="Book Antiqua"/>
        </w:rPr>
        <w:t xml:space="preserve">This policy aligns with the following United Nations Sustainable Development Goals:</w:t>
      </w:r>
    </w:p>
    <w:tbl>
      <w:tblPr>
        <w:tblW w:type="dxa" w:w="8496"/>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2832"/>
        <w:gridCol w:w="2832"/>
        <w:gridCol w:w="2832"/>
      </w:tblGrid>
      <w:tr>
        <w:trPr>
          <w:cantSplit/>
        </w:trPr>
        <w:tc>
          <w:tcPr>
            <w:tcW w:type="dxa" w:w="2832"/>
            <w:shd w:fill="F3EAE4" w:color="F3EAE4" w:val="solid"/>
            <w:tcMar>
              <w:top w:type="dxa" w:w="100"/>
              <w:left w:type="dxa" w:w="80"/>
              <w:bottom w:type="dxa" w:w="100"/>
              <w:right w:type="dxa" w:w="80"/>
            </w:tcMar>
            <w:vAlign w:val="center"/>
          </w:tcPr>
          <w:p>
            <w:pPr>
              <w:jc w:val="center"/>
            </w:pPr>
            <w:r>
              <w:drawing>
                <wp:inline distT="0" distB="0" distL="0" distR="0">
                  <wp:extent cx="876300"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876300"/>
                          </a:xfrm>
                          <a:prstGeom prst="rect">
                            <a:avLst/>
                          </a:prstGeom>
                        </pic:spPr>
                      </pic:pic>
                    </a:graphicData>
                  </a:graphic>
                </wp:inline>
              </w:drawing>
            </w:r>
          </w:p>
          <w:p>
            <w:pPr>
              <w:spacing w:before="60"/>
              <w:jc w:val="center"/>
            </w:pPr>
            <w:r>
              <w:rPr>
                <w:rFonts w:ascii="Book Antiqua" w:cs="Book Antiqua" w:eastAsia="Book Antiqua" w:hAnsi="Book Antiqua"/>
                <w:b/>
                <w:bCs/>
                <w:color w:val="2B221E"/>
                <w:sz w:val="14"/>
                <w:szCs w:val="14"/>
              </w:rPr>
              <w:t xml:space="preserve">Decent Work</w:t>
            </w:r>
          </w:p>
        </w:tc>
        <w:tc>
          <w:tcPr>
            <w:tcW w:type="dxa" w:w="2832"/>
            <w:shd w:fill="F3EAE4" w:color="F3EAE4" w:val="solid"/>
            <w:tcMar>
              <w:top w:type="dxa" w:w="100"/>
              <w:left w:type="dxa" w:w="80"/>
              <w:bottom w:type="dxa" w:w="100"/>
              <w:right w:type="dxa" w:w="80"/>
            </w:tcMar>
            <w:vAlign w:val="center"/>
          </w:tcPr>
          <w:p>
            <w:pPr>
              <w:jc w:val="center"/>
            </w:pPr>
            <w:r>
              <w:drawing>
                <wp:inline distT="0" distB="0" distL="0" distR="0">
                  <wp:extent cx="876300"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876300"/>
                          </a:xfrm>
                          <a:prstGeom prst="rect">
                            <a:avLst/>
                          </a:prstGeom>
                        </pic:spPr>
                      </pic:pic>
                    </a:graphicData>
                  </a:graphic>
                </wp:inline>
              </w:drawing>
            </w:r>
          </w:p>
          <w:p>
            <w:pPr>
              <w:spacing w:before="60"/>
              <w:jc w:val="center"/>
            </w:pPr>
            <w:r>
              <w:rPr>
                <w:rFonts w:ascii="Book Antiqua" w:cs="Book Antiqua" w:eastAsia="Book Antiqua" w:hAnsi="Book Antiqua"/>
                <w:b/>
                <w:bCs/>
                <w:color w:val="2B221E"/>
                <w:sz w:val="14"/>
                <w:szCs w:val="14"/>
              </w:rPr>
              <w:t xml:space="preserve">Industry &amp; Innovation</w:t>
            </w:r>
          </w:p>
        </w:tc>
        <w:tc>
          <w:tcPr>
            <w:tcW w:type="dxa" w:w="2832"/>
            <w:shd w:fill="F3EAE4" w:color="F3EAE4" w:val="solid"/>
            <w:tcMar>
              <w:top w:type="dxa" w:w="100"/>
              <w:left w:type="dxa" w:w="80"/>
              <w:bottom w:type="dxa" w:w="100"/>
              <w:right w:type="dxa" w:w="80"/>
            </w:tcMar>
            <w:vAlign w:val="center"/>
          </w:tcPr>
          <w:p>
            <w:pPr>
              <w:jc w:val="center"/>
            </w:pPr>
            <w:r>
              <w:drawing>
                <wp:inline distT="0" distB="0" distL="0" distR="0">
                  <wp:extent cx="876300"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876300"/>
                          </a:xfrm>
                          <a:prstGeom prst="rect">
                            <a:avLst/>
                          </a:prstGeom>
                        </pic:spPr>
                      </pic:pic>
                    </a:graphicData>
                  </a:graphic>
                </wp:inline>
              </w:drawing>
            </w:r>
          </w:p>
          <w:p>
            <w:pPr>
              <w:spacing w:before="60"/>
              <w:jc w:val="center"/>
            </w:pPr>
            <w:r>
              <w:rPr>
                <w:rFonts w:ascii="Book Antiqua" w:cs="Book Antiqua" w:eastAsia="Book Antiqua" w:hAnsi="Book Antiqua"/>
                <w:b/>
                <w:bCs/>
                <w:color w:val="2B221E"/>
                <w:sz w:val="14"/>
                <w:szCs w:val="14"/>
              </w:rPr>
              <w:t xml:space="preserve">Responsible Consumption</w:t>
            </w:r>
          </w:p>
        </w:tc>
      </w:tr>
      <w:tr>
        <w:trPr>
          <w:cantSplit/>
        </w:trPr>
        <w:tc>
          <w:tcPr>
            <w:tcW w:type="dxa" w:w="2832"/>
            <w:shd w:fill="F3EAE4" w:color="F3EAE4" w:val="solid"/>
            <w:tcMar>
              <w:top w:type="dxa" w:w="100"/>
              <w:left w:type="dxa" w:w="80"/>
              <w:bottom w:type="dxa" w:w="100"/>
              <w:right w:type="dxa" w:w="80"/>
            </w:tcMar>
            <w:vAlign w:val="center"/>
          </w:tcPr>
          <w:p>
            <w:pPr>
              <w:jc w:val="center"/>
            </w:pPr>
            <w:r>
              <w:drawing>
                <wp:inline distT="0" distB="0" distL="0" distR="0">
                  <wp:extent cx="876300"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76300" cy="876300"/>
                          </a:xfrm>
                          <a:prstGeom prst="rect">
                            <a:avLst/>
                          </a:prstGeom>
                        </pic:spPr>
                      </pic:pic>
                    </a:graphicData>
                  </a:graphic>
                </wp:inline>
              </w:drawing>
            </w:r>
          </w:p>
          <w:p>
            <w:pPr>
              <w:spacing w:before="60"/>
              <w:jc w:val="center"/>
            </w:pPr>
            <w:r>
              <w:rPr>
                <w:rFonts w:ascii="Book Antiqua" w:cs="Book Antiqua" w:eastAsia="Book Antiqua" w:hAnsi="Book Antiqua"/>
                <w:b/>
                <w:bCs/>
                <w:color w:val="2B221E"/>
                <w:sz w:val="14"/>
                <w:szCs w:val="14"/>
              </w:rPr>
              <w:t xml:space="preserve">Peace &amp; Justice</w:t>
            </w:r>
          </w:p>
        </w:tc>
        <w:tc>
          <w:tcPr>
            <w:tcW w:type="dxa" w:w="2832"/>
            <w:shd w:fill="F3EAE4" w:color="F3EAE4" w:val="solid"/>
            <w:tcMar>
              <w:top w:type="dxa" w:w="100"/>
              <w:left w:type="dxa" w:w="80"/>
              <w:bottom w:type="dxa" w:w="100"/>
              <w:right w:type="dxa" w:w="80"/>
            </w:tcMar>
            <w:vAlign w:val="center"/>
          </w:tcPr>
          <w:p>
            <w:pPr>
              <w:jc w:val="center"/>
            </w:pPr>
            <w:r>
              <w:drawing>
                <wp:inline distT="0" distB="0" distL="0" distR="0">
                  <wp:extent cx="876300"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76300" cy="876300"/>
                          </a:xfrm>
                          <a:prstGeom prst="rect">
                            <a:avLst/>
                          </a:prstGeom>
                        </pic:spPr>
                      </pic:pic>
                    </a:graphicData>
                  </a:graphic>
                </wp:inline>
              </w:drawing>
            </w:r>
          </w:p>
          <w:p>
            <w:pPr>
              <w:spacing w:before="60"/>
              <w:jc w:val="center"/>
            </w:pPr>
            <w:r>
              <w:rPr>
                <w:rFonts w:ascii="Book Antiqua" w:cs="Book Antiqua" w:eastAsia="Book Antiqua" w:hAnsi="Book Antiqua"/>
                <w:b/>
                <w:bCs/>
                <w:color w:val="2B221E"/>
                <w:sz w:val="14"/>
                <w:szCs w:val="14"/>
              </w:rPr>
              <w:t xml:space="preserve">Partnerships</w:t>
            </w:r>
          </w:p>
        </w:tc>
        <w:tc>
          <w:tcPr>
            <w:tcW w:type="dxa" w:w="2832"/>
            <w:tcMar>
              <w:top w:type="dxa" w:w="120"/>
              <w:left w:type="dxa" w:w="120"/>
              <w:bottom w:type="dxa" w:w="120"/>
              <w:right w:type="dxa" w:w="120"/>
            </w:tcMar>
            <w:vAlign w:val="center"/>
          </w:tcPr>
          <w:p>
            <w:r>
              <w:t xml:space="preserve"/>
            </w:r>
          </w:p>
        </w:tc>
      </w:tr>
    </w:tbl>
    <w:p>
      <w:pPr>
        <w:spacing w:before="165"/>
      </w:pPr>
      <w:r>
        <w:rPr>
          <w:sz w:val="2"/>
          <w:szCs w:val="2"/>
        </w:rPr>
        <w:t xml:space="preserve"> </w:t>
      </w:r>
    </w:p>
    <w:p>
      <w:pPr>
        <w:pStyle w:val="PolicyHeading"/>
        <w:pBdr>
          <w:bottom w:val="single" w:color="5E443A" w:sz="4" w:space="1"/>
        </w:pBdr>
        <w:spacing w:after="180" w:before="260"/>
        <w:jc w:val="left"/>
      </w:pPr>
      <w:bookmarkStart w:name="standard-responsibilities" w:id="1"/>
      <w:bookmarkEnd w:id="1"/>
      <w:r>
        <w:rPr>
          <w:rFonts w:ascii="Book Antiqua" w:cs="Book Antiqua" w:eastAsia="Book Antiqua" w:hAnsi="Book Antiqua"/>
          <w:color w:val="796B63"/>
          <w:sz w:val="20"/>
          <w:szCs w:val="20"/>
        </w:rPr>
        <w:t xml:space="preserve">08   </w:t>
      </w:r>
      <w:r>
        <w:rPr>
          <w:rFonts w:ascii="Book Antiqua" w:cs="Book Antiqua" w:eastAsia="Book Antiqua" w:hAnsi="Book Antiqua"/>
          <w:b/>
          <w:bCs/>
          <w:color w:val="3C2B25"/>
          <w:sz w:val="34"/>
          <w:szCs w:val="34"/>
        </w:rPr>
        <w:t xml:space="preserve">Roles &amp; Responsibilities</w:t>
      </w:r>
    </w:p>
    <w:tbl>
      <w:tblPr>
        <w:tblW w:type="dxa" w:w="8498"/>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900"/>
        <w:gridCol w:w="7598"/>
      </w:tblGrid>
      <w:tr>
        <w:trPr>
          <w:cantSplit/>
        </w:trPr>
        <w:tc>
          <w:tcPr>
            <w:tcW w:type="dxa" w:w="900"/>
            <w:tcBorders>
              <w:top w:val="single" w:color="E2D5CE" w:sz="5" w:space="1"/>
            </w:tcBorders>
            <w:tcMar>
              <w:top w:type="dxa" w:w="120"/>
              <w:left w:type="dxa" w:w="120"/>
              <w:bottom w:type="dxa" w:w="120"/>
              <w:right w:type="dxa" w:w="120"/>
            </w:tcMar>
            <w:vAlign w:val="center"/>
          </w:tcPr>
          <w:p>
            <w:pPr>
              <w:jc w:val="center"/>
            </w:pPr>
            <w:r>
              <w:rPr>
                <w:rFonts w:ascii="Georgia" w:cs="Georgia" w:eastAsia="Georgia" w:hAnsi="Georgia"/>
                <w:b w:val="false"/>
                <w:bCs w:val="false"/>
                <w:color w:val="2F6B61"/>
                <w:sz w:val="28"/>
                <w:szCs w:val="28"/>
              </w:rPr>
              <w:t xml:space="preserve">01</w:t>
            </w:r>
          </w:p>
        </w:tc>
        <w:tc>
          <w:tcPr>
            <w:tcW w:type="dxa" w:w="7598"/>
            <w:tcBorders>
              <w:top w:val="single" w:color="E2D5CE" w:sz="5" w:space="1"/>
            </w:tcBorders>
            <w:tcMar>
              <w:top w:type="dxa" w:w="120"/>
              <w:left w:type="dxa" w:w="120"/>
              <w:bottom w:type="dxa" w:w="120"/>
              <w:right w:type="dxa" w:w="120"/>
            </w:tcMar>
            <w:vAlign w:val="center"/>
          </w:tcPr>
          <w:p>
            <w:r>
              <w:rPr>
                <w:b/>
                <w:bCs/>
                <w:color w:val="2B221E"/>
                <w:sz w:val="20"/>
                <w:szCs w:val="20"/>
              </w:rPr>
              <w:t xml:space="preserve">Procurement Team</w:t>
            </w:r>
          </w:p>
          <w:p>
            <w:pPr>
              <w:spacing w:before="45"/>
            </w:pPr>
            <w:r>
              <w:rPr>
                <w:sz w:val="19"/>
                <w:szCs w:val="19"/>
              </w:rPr>
              <w:t xml:space="preserve">Integrate ESG and sustainability criteria into supplier selection, contracting, and ongoing performance management.</w:t>
            </w:r>
          </w:p>
        </w:tc>
      </w:tr>
    </w:tbl>
    <w:tbl>
      <w:tblPr>
        <w:tblW w:type="dxa" w:w="8498"/>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900"/>
        <w:gridCol w:w="7598"/>
      </w:tblGrid>
      <w:tr>
        <w:trPr>
          <w:cantSplit/>
        </w:trPr>
        <w:tc>
          <w:tcPr>
            <w:tcW w:type="dxa" w:w="900"/>
            <w:tcBorders>
              <w:top w:val="single" w:color="E2D5CE" w:sz="5" w:space="1"/>
            </w:tcBorders>
            <w:tcMar>
              <w:top w:type="dxa" w:w="120"/>
              <w:left w:type="dxa" w:w="120"/>
              <w:bottom w:type="dxa" w:w="120"/>
              <w:right w:type="dxa" w:w="120"/>
            </w:tcMar>
            <w:vAlign w:val="center"/>
          </w:tcPr>
          <w:p>
            <w:pPr>
              <w:jc w:val="center"/>
            </w:pPr>
            <w:r>
              <w:rPr>
                <w:rFonts w:ascii="Georgia" w:cs="Georgia" w:eastAsia="Georgia" w:hAnsi="Georgia"/>
                <w:b w:val="false"/>
                <w:bCs w:val="false"/>
                <w:color w:val="2F6B61"/>
                <w:sz w:val="28"/>
                <w:szCs w:val="28"/>
              </w:rPr>
              <w:t xml:space="preserve">02</w:t>
            </w:r>
          </w:p>
        </w:tc>
        <w:tc>
          <w:tcPr>
            <w:tcW w:type="dxa" w:w="7598"/>
            <w:tcBorders>
              <w:top w:val="single" w:color="E2D5CE" w:sz="5" w:space="1"/>
            </w:tcBorders>
            <w:tcMar>
              <w:top w:type="dxa" w:w="120"/>
              <w:left w:type="dxa" w:w="120"/>
              <w:bottom w:type="dxa" w:w="120"/>
              <w:right w:type="dxa" w:w="120"/>
            </w:tcMar>
            <w:vAlign w:val="center"/>
          </w:tcPr>
          <w:p>
            <w:r>
              <w:rPr>
                <w:b/>
                <w:bCs/>
                <w:color w:val="2B221E"/>
                <w:sz w:val="20"/>
                <w:szCs w:val="20"/>
              </w:rPr>
              <w:t xml:space="preserve">Sustainability Team</w:t>
            </w:r>
          </w:p>
          <w:p>
            <w:pPr>
              <w:spacing w:before="45"/>
            </w:pPr>
            <w:r>
              <w:rPr>
                <w:sz w:val="19"/>
                <w:szCs w:val="19"/>
              </w:rPr>
              <w:t xml:space="preserve">Develop sustainable procurement standards, assist with supplier ESG evaluations, and track supply-chain targets.</w:t>
            </w:r>
          </w:p>
        </w:tc>
      </w:tr>
    </w:tbl>
    <w:tbl>
      <w:tblPr>
        <w:tblW w:type="dxa" w:w="8498"/>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900"/>
        <w:gridCol w:w="7598"/>
      </w:tblGrid>
      <w:tr>
        <w:trPr>
          <w:cantSplit/>
        </w:trPr>
        <w:tc>
          <w:tcPr>
            <w:tcW w:type="dxa" w:w="900"/>
            <w:tcBorders>
              <w:top w:val="single" w:color="E2D5CE" w:sz="5" w:space="1"/>
            </w:tcBorders>
            <w:tcMar>
              <w:top w:type="dxa" w:w="120"/>
              <w:left w:type="dxa" w:w="120"/>
              <w:bottom w:type="dxa" w:w="120"/>
              <w:right w:type="dxa" w:w="120"/>
            </w:tcMar>
            <w:vAlign w:val="center"/>
          </w:tcPr>
          <w:p>
            <w:pPr>
              <w:jc w:val="center"/>
            </w:pPr>
            <w:r>
              <w:rPr>
                <w:rFonts w:ascii="Georgia" w:cs="Georgia" w:eastAsia="Georgia" w:hAnsi="Georgia"/>
                <w:b w:val="false"/>
                <w:bCs w:val="false"/>
                <w:color w:val="2F6B61"/>
                <w:sz w:val="28"/>
                <w:szCs w:val="28"/>
              </w:rPr>
              <w:t xml:space="preserve">03</w:t>
            </w:r>
          </w:p>
        </w:tc>
        <w:tc>
          <w:tcPr>
            <w:tcW w:type="dxa" w:w="7598"/>
            <w:tcBorders>
              <w:top w:val="single" w:color="E2D5CE" w:sz="5" w:space="1"/>
            </w:tcBorders>
            <w:tcMar>
              <w:top w:type="dxa" w:w="120"/>
              <w:left w:type="dxa" w:w="120"/>
              <w:bottom w:type="dxa" w:w="120"/>
              <w:right w:type="dxa" w:w="120"/>
            </w:tcMar>
            <w:vAlign w:val="center"/>
          </w:tcPr>
          <w:p>
            <w:r>
              <w:rPr>
                <w:b/>
                <w:bCs/>
                <w:color w:val="2B221E"/>
                <w:sz w:val="20"/>
                <w:szCs w:val="20"/>
              </w:rPr>
              <w:t xml:space="preserve">Suppliers</w:t>
            </w:r>
          </w:p>
          <w:p>
            <w:pPr>
              <w:spacing w:before="45"/>
            </w:pPr>
            <w:r>
              <w:rPr>
                <w:sz w:val="19"/>
                <w:szCs w:val="19"/>
              </w:rPr>
              <w:t xml:space="preserve">Comply with the Supplier Code of Conduct, provide requested disclosures, and participate in sustainability audits.</w:t>
            </w:r>
          </w:p>
        </w:tc>
      </w:tr>
    </w:tbl>
    <w:tbl>
      <w:tblPr>
        <w:tblW w:type="dxa" w:w="8498"/>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900"/>
        <w:gridCol w:w="7598"/>
      </w:tblGrid>
      <w:tr>
        <w:trPr>
          <w:cantSplit/>
        </w:trPr>
        <w:tc>
          <w:tcPr>
            <w:tcW w:type="dxa" w:w="900"/>
            <w:tcBorders>
              <w:top w:val="single" w:color="E2D5CE" w:sz="5" w:space="1"/>
            </w:tcBorders>
            <w:tcMar>
              <w:top w:type="dxa" w:w="120"/>
              <w:left w:type="dxa" w:w="120"/>
              <w:bottom w:type="dxa" w:w="120"/>
              <w:right w:type="dxa" w:w="120"/>
            </w:tcMar>
            <w:vAlign w:val="center"/>
          </w:tcPr>
          <w:p>
            <w:pPr>
              <w:jc w:val="center"/>
            </w:pPr>
            <w:r>
              <w:rPr>
                <w:rFonts w:ascii="Georgia" w:cs="Georgia" w:eastAsia="Georgia" w:hAnsi="Georgia"/>
                <w:b w:val="false"/>
                <w:bCs w:val="false"/>
                <w:color w:val="2F6B61"/>
                <w:sz w:val="28"/>
                <w:szCs w:val="28"/>
              </w:rPr>
              <w:t xml:space="preserve">04</w:t>
            </w:r>
          </w:p>
        </w:tc>
        <w:tc>
          <w:tcPr>
            <w:tcW w:type="dxa" w:w="7598"/>
            <w:tcBorders>
              <w:top w:val="single" w:color="E2D5CE" w:sz="5" w:space="1"/>
            </w:tcBorders>
            <w:tcMar>
              <w:top w:type="dxa" w:w="120"/>
              <w:left w:type="dxa" w:w="120"/>
              <w:bottom w:type="dxa" w:w="120"/>
              <w:right w:type="dxa" w:w="120"/>
            </w:tcMar>
            <w:vAlign w:val="center"/>
          </w:tcPr>
          <w:p>
            <w:r>
              <w:rPr>
                <w:b/>
                <w:bCs/>
                <w:color w:val="2B221E"/>
                <w:sz w:val="20"/>
                <w:szCs w:val="20"/>
              </w:rPr>
              <w:t xml:space="preserve">Senior Management</w:t>
            </w:r>
          </w:p>
          <w:p>
            <w:pPr>
              <w:spacing w:before="45"/>
            </w:pPr>
            <w:r>
              <w:rPr>
                <w:sz w:val="19"/>
                <w:szCs w:val="19"/>
              </w:rPr>
              <w:t xml:space="preserve">Approve sustainable procurement commitments, allocate resources, and review supply chain risk reports.</w:t>
            </w:r>
          </w:p>
        </w:tc>
      </w:tr>
    </w:tbl>
    <w:tbl>
      <w:tblPr>
        <w:tblW w:type="dxa" w:w="8498"/>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900"/>
        <w:gridCol w:w="7598"/>
      </w:tblGrid>
      <w:tr>
        <w:trPr>
          <w:cantSplit/>
        </w:trPr>
        <w:tc>
          <w:tcPr>
            <w:tcW w:type="dxa" w:w="900"/>
            <w:tcBorders>
              <w:top w:val="single" w:color="E2D5CE" w:sz="5" w:space="1"/>
            </w:tcBorders>
            <w:tcMar>
              <w:top w:type="dxa" w:w="120"/>
              <w:left w:type="dxa" w:w="120"/>
              <w:bottom w:type="dxa" w:w="120"/>
              <w:right w:type="dxa" w:w="120"/>
            </w:tcMar>
            <w:vAlign w:val="center"/>
          </w:tcPr>
          <w:p>
            <w:pPr>
              <w:jc w:val="center"/>
            </w:pPr>
            <w:r>
              <w:rPr>
                <w:rFonts w:ascii="Georgia" w:cs="Georgia" w:eastAsia="Georgia" w:hAnsi="Georgia"/>
                <w:b w:val="false"/>
                <w:bCs w:val="false"/>
                <w:color w:val="2F6B61"/>
                <w:sz w:val="28"/>
                <w:szCs w:val="28"/>
              </w:rPr>
              <w:t xml:space="preserve">05</w:t>
            </w:r>
          </w:p>
        </w:tc>
        <w:tc>
          <w:tcPr>
            <w:tcW w:type="dxa" w:w="7598"/>
            <w:tcBorders>
              <w:top w:val="single" w:color="E2D5CE" w:sz="5" w:space="1"/>
            </w:tcBorders>
            <w:tcMar>
              <w:top w:type="dxa" w:w="120"/>
              <w:left w:type="dxa" w:w="120"/>
              <w:bottom w:type="dxa" w:w="120"/>
              <w:right w:type="dxa" w:w="120"/>
            </w:tcMar>
            <w:vAlign w:val="center"/>
          </w:tcPr>
          <w:p>
            <w:r>
              <w:rPr>
                <w:b/>
                <w:bCs/>
                <w:color w:val="2B221E"/>
                <w:sz w:val="20"/>
                <w:szCs w:val="20"/>
              </w:rPr>
              <w:t xml:space="preserve">All Employees</w:t>
            </w:r>
          </w:p>
          <w:p>
            <w:pPr>
              <w:spacing w:before="45"/>
            </w:pPr>
            <w:r>
              <w:rPr>
                <w:sz w:val="19"/>
                <w:szCs w:val="19"/>
              </w:rPr>
              <w:t xml:space="preserve">Adhere to responsible purchasing guidelines and support sustainable procurement practices.</w:t>
            </w:r>
          </w:p>
        </w:tc>
      </w:tr>
    </w:tbl>
    <w:p>
      <w:pPr>
        <w:spacing w:before="165"/>
      </w:pPr>
      <w:r>
        <w:rPr>
          <w:sz w:val="2"/>
          <w:szCs w:val="2"/>
        </w:rPr>
        <w:t xml:space="preserve"> </w:t>
      </w:r>
    </w:p>
    <w:p>
      <w:pPr>
        <w:pStyle w:val="PolicyHeading"/>
        <w:pBdr>
          <w:bottom w:val="single" w:color="5E443A" w:sz="4" w:space="1"/>
        </w:pBdr>
        <w:spacing w:after="180" w:before="260"/>
        <w:jc w:val="left"/>
      </w:pPr>
      <w:bookmarkStart w:name="standard-monitoring" w:id="1"/>
      <w:bookmarkEnd w:id="1"/>
      <w:r>
        <w:rPr>
          <w:rFonts w:ascii="Book Antiqua" w:cs="Book Antiqua" w:eastAsia="Book Antiqua" w:hAnsi="Book Antiqua"/>
          <w:color w:val="796B63"/>
          <w:sz w:val="20"/>
          <w:szCs w:val="20"/>
        </w:rPr>
        <w:t xml:space="preserve">09   </w:t>
      </w:r>
      <w:r>
        <w:rPr>
          <w:rFonts w:ascii="Book Antiqua" w:cs="Book Antiqua" w:eastAsia="Book Antiqua" w:hAnsi="Book Antiqua"/>
          <w:b/>
          <w:bCs/>
          <w:color w:val="3C2B25"/>
          <w:sz w:val="34"/>
          <w:szCs w:val="34"/>
        </w:rPr>
        <w:t xml:space="preserve">Monitoring, Reporting &amp; Transparency</w:t>
      </w:r>
    </w:p>
    <w:p>
      <w:pPr>
        <w:pStyle w:val="PolicyBody"/>
        <w:spacing w:after="150" w:line="360"/>
        <w:jc w:val="both"/>
      </w:pPr>
      <w:r>
        <w:rPr>
          <w:rFonts w:ascii="Book Antiqua" w:cs="Book Antiqua" w:eastAsia="Book Antiqua" w:hAnsi="Book Antiqua"/>
          <w:b/>
          <w:bCs/>
          <w:color w:val="9B4E2D"/>
          <w:sz w:val="46"/>
          <w:szCs w:val="46"/>
        </w:rPr>
        <w:t xml:space="preserve">E</w:t>
      </w:r>
      <w:r>
        <w:rPr>
          <w:rFonts w:ascii="Book Antiqua" w:cs="Book Antiqua" w:eastAsia="Book Antiqua" w:hAnsi="Book Antiqua"/>
          <w:sz w:val="22"/>
          <w:szCs w:val="22"/>
        </w:rPr>
        <w:t xml:space="preserve">nvironmental performance is monitored continuously through a centralized EHS dashboard, with KPIs reviewed monthly by site leadership and quarterly by the Executive Committee. Independent third-party audits are conducted annually for ISO 14001 and as required by customers. Findings, progress against targets, and incidents are reported in the annual Sustainability Report prepared in line with GRI Standards and BRSR.</w:t>
      </w:r>
    </w:p>
    <w:p>
      <w:pPr>
        <w:spacing w:before="165"/>
      </w:pPr>
      <w:r>
        <w:rPr>
          <w:sz w:val="2"/>
          <w:szCs w:val="2"/>
        </w:rPr>
        <w:t xml:space="preserve"> </w:t>
      </w:r>
    </w:p>
    <w:p>
      <w:pPr>
        <w:pStyle w:val="PolicyHeading"/>
        <w:pBdr>
          <w:bottom w:val="single" w:color="5E443A" w:sz="4" w:space="1"/>
        </w:pBdr>
        <w:spacing w:after="180" w:before="260"/>
        <w:jc w:val="left"/>
      </w:pPr>
      <w:bookmarkStart w:name="standard-review" w:id="1"/>
      <w:bookmarkEnd w:id="1"/>
      <w:r>
        <w:rPr>
          <w:rFonts w:ascii="Book Antiqua" w:cs="Book Antiqua" w:eastAsia="Book Antiqua" w:hAnsi="Book Antiqua"/>
          <w:color w:val="796B63"/>
          <w:sz w:val="20"/>
          <w:szCs w:val="20"/>
        </w:rPr>
        <w:t xml:space="preserve">10   </w:t>
      </w:r>
      <w:r>
        <w:rPr>
          <w:rFonts w:ascii="Book Antiqua" w:cs="Book Antiqua" w:eastAsia="Book Antiqua" w:hAnsi="Book Antiqua"/>
          <w:b/>
          <w:bCs/>
          <w:color w:val="3C2B25"/>
          <w:sz w:val="34"/>
          <w:szCs w:val="34"/>
        </w:rPr>
        <w:t xml:space="preserve">Review Mechanism &amp; Continuous Improvement</w:t>
      </w:r>
    </w:p>
    <w:p>
      <w:pPr>
        <w:pStyle w:val="PolicyBody"/>
        <w:spacing w:after="150" w:line="360"/>
        <w:jc w:val="both"/>
      </w:pPr>
      <w:r>
        <w:rPr>
          <w:rFonts w:ascii="Book Antiqua" w:cs="Book Antiqua" w:eastAsia="Book Antiqua" w:hAnsi="Book Antiqua"/>
          <w:b/>
          <w:bCs/>
          <w:color w:val="9B4E2D"/>
          <w:sz w:val="46"/>
          <w:szCs w:val="46"/>
        </w:rPr>
        <w:t xml:space="preserve">T</w:t>
      </w:r>
      <w:r>
        <w:rPr>
          <w:rFonts w:ascii="Book Antiqua" w:cs="Book Antiqua" w:eastAsia="Book Antiqua" w:hAnsi="Book Antiqua"/>
          <w:sz w:val="22"/>
          <w:szCs w:val="22"/>
        </w:rPr>
        <w:t xml:space="preserve">his Policy is reviewed every two years or earlier if there are significant changes in operations, regulations, or stakeholder expectations. The EHS team initiates the review, the Executive Committee approves revisions, and updated versions are communicated to all employees and relevant stakeholders. Feedback collected through employee engagement, customer audits and investor dialogues is incorporated into each revision.</w:t>
      </w:r>
    </w:p>
    <w:p>
      <w:pPr>
        <w:spacing w:before="165"/>
      </w:pPr>
      <w:r>
        <w:rPr>
          <w:sz w:val="2"/>
          <w:szCs w:val="2"/>
        </w:rPr>
        <w:t xml:space="preserve"> </w:t>
      </w:r>
    </w:p>
    <w:p>
      <w:pPr>
        <w:spacing w:before="100"/>
      </w:pPr>
      <w:r>
        <w:rPr>
          <w:sz w:val="2"/>
          <w:szCs w:val="2"/>
        </w:rPr>
        <w:t xml:space="preserve"> </w:t>
      </w:r>
    </w:p>
    <w:p>
      <w:pPr>
        <w:spacing w:after="120" w:before="160"/>
      </w:pPr>
      <w:r>
        <w:rPr>
          <w:rFonts w:ascii="Book Antiqua" w:cs="Book Antiqua" w:eastAsia="Book Antiqua" w:hAnsi="Book Antiqua"/>
          <w:b/>
          <w:bCs/>
          <w:color w:val="3C2B25"/>
        </w:rPr>
        <w:t xml:space="preserve">Approved by: </w:t>
      </w:r>
      <w:r>
        <w:rPr>
          <w:rFonts w:ascii="Book Antiqua" w:cs="Book Antiqua" w:eastAsia="Book Antiqua" w:hAnsi="Book Antiqua"/>
        </w:rPr>
        <w:t xml:space="preserve">Managing Director</w:t>
      </w:r>
    </w:p>
    <w:p>
      <w:r>
        <w:br w:type="page"/>
      </w:r>
    </w:p>
    <w:p>
      <w:pPr>
        <w:spacing w:after="180"/>
        <w:jc w:val="left"/>
      </w:pPr>
      <w:bookmarkStart w:name="acknowledgement" w:id="1"/>
      <w:bookmarkEnd w:id="1"/>
      <w:r>
        <w:rPr>
          <w:rFonts w:ascii="Book Antiqua" w:cs="Book Antiqua" w:eastAsia="Book Antiqua" w:hAnsi="Book Antiqua"/>
          <w:b/>
          <w:bCs/>
          <w:i w:val="false"/>
          <w:iCs w:val="false"/>
          <w:color w:val="3C2B25"/>
          <w:sz w:val="36"/>
          <w:szCs w:val="36"/>
        </w:rPr>
        <w:t xml:space="preserve">Employee Acknowledgement Form</w:t>
      </w:r>
    </w:p>
    <w:p>
      <w:pPr>
        <w:spacing w:after="260" w:line="360"/>
        <w:jc w:val="both"/>
      </w:pPr>
      <w:r>
        <w:rPr>
          <w:rFonts w:ascii="Book Antiqua" w:cs="Book Antiqua" w:eastAsia="Book Antiqua" w:hAnsi="Book Antiqua"/>
          <w:sz w:val="22"/>
          <w:szCs w:val="22"/>
        </w:rPr>
        <w:t xml:space="preserve">I acknowledge that I have read and understood the Sustainable Procurement Policy of International Sustainable Procurement and Responsible Operations Group Limited and agree to uphold its commitments in my work.</w:t>
      </w:r>
    </w:p>
    <w:tbl>
      <w:tblPr>
        <w:tblW w:type="dxa" w:w="8498"/>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4249"/>
        <w:gridCol w:w="4249"/>
      </w:tblGrid>
      <w:tr>
        <w:trPr>
          <w:cantSplit/>
        </w:trPr>
        <w:tc>
          <w:tcPr>
            <w:tcW w:type="dxa" w:w="4249"/>
            <w:shd w:fill="F3EAE4" w:color="F3EAE4" w:val="solid"/>
            <w:tcMar>
              <w:top w:type="dxa" w:w="120"/>
              <w:left w:type="dxa" w:w="140"/>
              <w:bottom w:type="dxa" w:w="120"/>
              <w:right w:type="dxa" w:w="140"/>
            </w:tcMar>
            <w:vAlign w:val="center"/>
          </w:tcPr>
          <w:p>
            <w:pPr>
              <w:spacing w:after="100"/>
            </w:pPr>
            <w:r>
              <w:rPr>
                <w:rFonts w:ascii="Book Antiqua" w:cs="Book Antiqua" w:eastAsia="Book Antiqua" w:hAnsi="Book Antiqua"/>
                <w:b/>
                <w:bCs/>
                <w:color w:val="796B63"/>
                <w:spacing w:val="35"/>
                <w:sz w:val="14"/>
                <w:szCs w:val="14"/>
              </w:rPr>
              <w:t xml:space="preserve">EMPLOYEE NAME</w:t>
            </w:r>
          </w:p>
          <w:p>
            <w:pPr>
              <w:pBdr>
                <w:bottom w:val="single" w:color="796B63" w:sz="6" w:space="1"/>
              </w:pBdr>
              <w:spacing w:after="170"/>
            </w:pPr>
            <w:r>
              <w:t xml:space="preserve"> </w:t>
            </w:r>
          </w:p>
        </w:tc>
        <w:tc>
          <w:tcPr>
            <w:tcW w:type="dxa" w:w="4249"/>
            <w:shd w:fill="F3EAE4" w:color="F3EAE4" w:val="solid"/>
            <w:tcMar>
              <w:top w:type="dxa" w:w="120"/>
              <w:left w:type="dxa" w:w="140"/>
              <w:bottom w:type="dxa" w:w="120"/>
              <w:right w:type="dxa" w:w="140"/>
            </w:tcMar>
            <w:vAlign w:val="center"/>
          </w:tcPr>
          <w:p>
            <w:pPr>
              <w:spacing w:after="100"/>
            </w:pPr>
            <w:r>
              <w:rPr>
                <w:rFonts w:ascii="Book Antiqua" w:cs="Book Antiqua" w:eastAsia="Book Antiqua" w:hAnsi="Book Antiqua"/>
                <w:b/>
                <w:bCs/>
                <w:color w:val="796B63"/>
                <w:spacing w:val="35"/>
                <w:sz w:val="14"/>
                <w:szCs w:val="14"/>
              </w:rPr>
              <w:t xml:space="preserve">EMPLOYEE ID</w:t>
            </w:r>
          </w:p>
          <w:p>
            <w:pPr>
              <w:pBdr>
                <w:bottom w:val="single" w:color="796B63" w:sz="6" w:space="1"/>
              </w:pBdr>
              <w:spacing w:after="170"/>
            </w:pPr>
            <w:r>
              <w:t xml:space="preserve"> </w:t>
            </w:r>
          </w:p>
        </w:tc>
      </w:tr>
      <w:tr>
        <w:trPr>
          <w:cantSplit/>
        </w:trPr>
        <w:tc>
          <w:tcPr>
            <w:tcW w:type="dxa" w:w="4249"/>
            <w:shd w:fill="F3EAE4" w:color="F3EAE4" w:val="solid"/>
            <w:tcMar>
              <w:top w:type="dxa" w:w="120"/>
              <w:left w:type="dxa" w:w="140"/>
              <w:bottom w:type="dxa" w:w="120"/>
              <w:right w:type="dxa" w:w="140"/>
            </w:tcMar>
            <w:vAlign w:val="center"/>
          </w:tcPr>
          <w:p>
            <w:pPr>
              <w:spacing w:after="100"/>
            </w:pPr>
            <w:r>
              <w:rPr>
                <w:rFonts w:ascii="Book Antiqua" w:cs="Book Antiqua" w:eastAsia="Book Antiqua" w:hAnsi="Book Antiqua"/>
                <w:b/>
                <w:bCs/>
                <w:color w:val="796B63"/>
                <w:spacing w:val="35"/>
                <w:sz w:val="14"/>
                <w:szCs w:val="14"/>
              </w:rPr>
              <w:t xml:space="preserve">DEPARTMENT</w:t>
            </w:r>
          </w:p>
          <w:p>
            <w:pPr>
              <w:pBdr>
                <w:bottom w:val="single" w:color="796B63" w:sz="6" w:space="1"/>
              </w:pBdr>
              <w:spacing w:after="170"/>
            </w:pPr>
            <w:r>
              <w:t xml:space="preserve"> </w:t>
            </w:r>
          </w:p>
        </w:tc>
        <w:tc>
          <w:tcPr>
            <w:tcW w:type="dxa" w:w="4249"/>
            <w:shd w:fill="F3EAE4" w:color="F3EAE4" w:val="solid"/>
            <w:tcMar>
              <w:top w:type="dxa" w:w="120"/>
              <w:left w:type="dxa" w:w="140"/>
              <w:bottom w:type="dxa" w:w="120"/>
              <w:right w:type="dxa" w:w="140"/>
            </w:tcMar>
            <w:vAlign w:val="center"/>
          </w:tcPr>
          <w:p>
            <w:pPr>
              <w:spacing w:after="100"/>
            </w:pPr>
            <w:r>
              <w:rPr>
                <w:rFonts w:ascii="Book Antiqua" w:cs="Book Antiqua" w:eastAsia="Book Antiqua" w:hAnsi="Book Antiqua"/>
                <w:b/>
                <w:bCs/>
                <w:color w:val="796B63"/>
                <w:spacing w:val="35"/>
                <w:sz w:val="14"/>
                <w:szCs w:val="14"/>
              </w:rPr>
              <w:t xml:space="preserve">DATE</w:t>
            </w:r>
          </w:p>
          <w:p>
            <w:pPr>
              <w:pBdr>
                <w:bottom w:val="single" w:color="796B63" w:sz="6" w:space="1"/>
              </w:pBdr>
              <w:spacing w:after="170"/>
            </w:pPr>
            <w:r>
              <w:t xml:space="preserve"> </w:t>
            </w:r>
          </w:p>
        </w:tc>
      </w:tr>
      <w:tr>
        <w:trPr>
          <w:cantSplit/>
        </w:trPr>
        <w:tc>
          <w:tcPr>
            <w:tcW w:type="dxa" w:w="4249"/>
            <w:shd w:fill="F3EAE4" w:color="F3EAE4" w:val="solid"/>
            <w:tcMar>
              <w:top w:type="dxa" w:w="120"/>
              <w:left w:type="dxa" w:w="140"/>
              <w:bottom w:type="dxa" w:w="120"/>
              <w:right w:type="dxa" w:w="140"/>
            </w:tcMar>
            <w:vAlign w:val="center"/>
          </w:tcPr>
          <w:p>
            <w:pPr>
              <w:spacing w:after="100"/>
            </w:pPr>
            <w:r>
              <w:rPr>
                <w:rFonts w:ascii="Book Antiqua" w:cs="Book Antiqua" w:eastAsia="Book Antiqua" w:hAnsi="Book Antiqua"/>
                <w:b/>
                <w:bCs/>
                <w:color w:val="796B63"/>
                <w:spacing w:val="35"/>
                <w:sz w:val="14"/>
                <w:szCs w:val="14"/>
              </w:rPr>
              <w:t xml:space="preserve">SIGNATURE</w:t>
            </w:r>
          </w:p>
          <w:p>
            <w:pPr>
              <w:pBdr>
                <w:bottom w:val="single" w:color="796B63" w:sz="6" w:space="1"/>
              </w:pBdr>
              <w:spacing w:after="260"/>
            </w:pPr>
            <w:r>
              <w:t xml:space="preserve"> </w:t>
            </w:r>
          </w:p>
        </w:tc>
        <w:tc>
          <w:tcPr>
            <w:tcW w:type="dxa" w:w="4249"/>
            <w:tcMar>
              <w:top w:type="dxa" w:w="120"/>
              <w:left w:type="dxa" w:w="120"/>
              <w:bottom w:type="dxa" w:w="120"/>
              <w:right w:type="dxa" w:w="120"/>
            </w:tcMar>
            <w:vAlign w:val="center"/>
          </w:tcPr>
          <w:p>
            <w:r>
              <w:t xml:space="preserve"/>
            </w:r>
          </w:p>
        </w:tc>
      </w:tr>
    </w:tbl>
    <w:sectPr>
      <w:headerReference w:type="default" r:id="rId7"/>
      <w:headerReference w:type="first" r:id="rId8"/>
      <w:footerReference w:type="default" r:id="rId9"/>
      <w:footerReference w:type="first" r:id="rId10"/>
      <w:pgSz w:w="11906" w:h="16838" w:orient="portrait"/>
      <w:pgMar w:top="1704" w:right="1704" w:bottom="1704" w:left="1704" w:header="708" w:footer="708" w:gutter="0"/>
      <w:pgBorders w:display="allPages" w:offsetFrom="text">
        <w:top w:val="single" w:color="5E443A" w:sz="48" w:space="29"/>
        <w:left w:val="single" w:color="5E443A" w:sz="48" w:space="29"/>
        <w:bottom w:val="single" w:color="5E443A" w:sz="48" w:space="29"/>
        <w:right w:val="single" w:color="5E443A" w:sz="48" w:space="29"/>
      </w:pgBorders>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D5CE" w:sz="5" w:space="1"/>
      </w:pBdr>
      <w:spacing w:before="80"/>
      <w:jc w:val="left"/>
    </w:pPr>
    <w:r>
      <w:rPr>
        <w:rFonts w:ascii="Book Antiqua" w:cs="Book Antiqua" w:eastAsia="Book Antiqua" w:hAnsi="Book Antiqua"/>
        <w:i w:val="false"/>
        <w:iCs w:val="false"/>
        <w:color w:val="796B63"/>
        <w:sz w:val="14"/>
        <w:szCs w:val="14"/>
      </w:rPr>
      <w:t xml:space="preserve">Effective 2025-01-15   -   Revision 01   -   Page </w:t>
    </w:r>
    <w:r>
      <w:rPr>
        <w:rFonts w:ascii="Book Antiqua" w:cs="Book Antiqua" w:eastAsia="Book Antiqua" w:hAnsi="Book Antiqua"/>
        <w:color w:val="796B63"/>
        <w:sz w:val="14"/>
        <w:szCs w:val="1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drawing>
        <wp:anchor distT="0" distB="0" distL="0" distR="0" simplePos="0" allowOverlap="1" behindDoc="1" locked="1" layoutInCell="0" relativeHeight="10696575">
          <wp:simplePos x="0" y="0"/>
          <wp:positionH relativeFrom="page">
            <wp:align>center</wp:align>
          </wp:positionH>
          <wp:positionV relativeFrom="page">
            <wp:align>center</wp:align>
          </wp:positionV>
          <wp:extent cx="7562850" cy="10696575"/>
          <wp:effectExtent t="0" r="0" b="0" l="0"/>
          <wp:wrapNone/>
          <wp:docPr id="1" name="Document page background" descr="Theme-colored page background" title="Document pag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extLst>
                      <a:ext uri="{96DAC541-7B7A-43D3-8B79-37D633B846F1}">
                        <asvg:svgBlip xmlns:asvg="http://schemas.microsoft.com/office/drawing/2016/SVG/main" r:embed="rId0"/>
                      </a:ext>
                    </a:extLst>
                  </a:blip>
                  <a:srcRect/>
                  <a:stretch>
                    <a:fillRect/>
                  </a:stretch>
                </pic:blipFill>
                <pic:spPr bwMode="auto">
                  <a:xfrm>
                    <a:off x="0" y="0"/>
                    <a:ext cx="7562850" cy="10696575"/>
                  </a:xfrm>
                  <a:prstGeom prst="rect">
                    <a:avLst/>
                  </a:prstGeom>
                </pic:spPr>
              </pic:pic>
            </a:graphicData>
          </a:graphic>
        </wp:anchor>
      </w:drawing>
    </w:r>
  </w:p>
  <w:p>
    <w:pPr>
      <w:pBdr>
        <w:bottom w:val="single" w:color="E2D5CE" w:sz="5" w:space="1"/>
      </w:pBdr>
      <w:spacing w:after="60"/>
      <w:jc w:val="center"/>
    </w:pPr>
    <w:r>
      <w:rPr>
        <w:rFonts w:ascii="Book Antiqua" w:cs="Book Antiqua" w:eastAsia="Book Antiqua" w:hAnsi="Book Antiqua"/>
        <w:b/>
        <w:bCs/>
        <w:color w:val="796B63"/>
        <w:spacing w:val="20"/>
        <w:sz w:val="14"/>
        <w:szCs w:val="14"/>
      </w:rPr>
      <w:t xml:space="preserve">International Sustainable Procurement and Responsible Operations Group Limited</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drawing>
        <wp:anchor distT="0" distB="0" distL="0" distR="0" simplePos="0" allowOverlap="1" behindDoc="1" locked="1" layoutInCell="0" relativeHeight="10696575">
          <wp:simplePos x="0" y="0"/>
          <wp:positionH relativeFrom="page">
            <wp:align>center</wp:align>
          </wp:positionH>
          <wp:positionV relativeFrom="page">
            <wp:align>center</wp:align>
          </wp:positionV>
          <wp:extent cx="7562850" cy="10696575"/>
          <wp:effectExtent t="0" r="0" b="0" l="0"/>
          <wp:wrapNone/>
          <wp:docPr id="1" name="Document page background" descr="Theme-colored page background" title="Document pag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extLst>
                      <a:ext uri="{96DAC541-7B7A-43D3-8B79-37D633B846F1}">
                        <asvg:svgBlip xmlns:asvg="http://schemas.microsoft.com/office/drawing/2016/SVG/main" r:embed="rId0"/>
                      </a:ext>
                    </a:extLst>
                  </a:blip>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90" w:line="360"/>
        <w:ind w:left="420" w:hanging="220"/>
      </w:pPr>
      <w:rPr>
        <w:rFonts w:ascii="Book Antiqua" w:cs="Book Antiqua" w:eastAsia="Book Antiqua" w:hAnsi="Book Antiqua"/>
        <w:color w:val="5E443A"/>
      </w:rPr>
    </w:lvl>
  </w:abstractNum>
  <w:abstractNum w:abstractNumId="3" w15:restartNumberingAfterBreak="0">
    <w:multiLevelType w:val="hybridMultilevel"/>
    <w:lvl w:ilvl="0" w15:tentative="1">
      <w:start w:val="1"/>
      <w:numFmt w:val="decimal"/>
      <w:lvlText w:val="%1."/>
      <w:lvlJc w:val="left"/>
      <w:pPr>
        <w:spacing w:after="90" w:line="360"/>
        <w:ind w:left="420" w:hanging="220"/>
      </w:pPr>
      <w:rPr>
        <w:rFonts w:ascii="Book Antiqua" w:cs="Book Antiqua" w:eastAsia="Book Antiqua" w:hAnsi="Book Antiqua"/>
        <w:b/>
        <w:bCs/>
        <w:color w:val="5E443A"/>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ook Antiqua" w:cs="Book Antiqua" w:eastAsia="Book Antiqua" w:hAnsi="Book Antiqua"/>
        <w:color w:val="2B221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PolicyHeading">
    <w:name w:val="Policy Heading"/>
    <w:basedOn w:val="Normal"/>
    <w:next w:val="PolicyBody"/>
    <w:qFormat/>
    <w:pPr>
      <w:keepNext/>
      <w:spacing w:after="212" w:before="354"/>
    </w:pPr>
    <w:rPr>
      <w:rFonts w:ascii="Book Antiqua" w:cs="Book Antiqua" w:eastAsia="Book Antiqua" w:hAnsi="Book Antiqua"/>
      <w:b/>
      <w:bCs/>
      <w:color w:val="3C2B25"/>
      <w:sz w:val="34"/>
      <w:szCs w:val="34"/>
    </w:rPr>
  </w:style>
  <w:style w:type="paragraph" w:styleId="PolicyBody">
    <w:name w:val="Policy Body"/>
    <w:basedOn w:val="Normal"/>
    <w:next w:val="PolicyBody"/>
    <w:qFormat/>
    <w:pPr>
      <w:spacing w:after="177" w:line="360"/>
    </w:pPr>
    <w:rPr>
      <w:rFonts w:ascii="Book Antiqua" w:cs="Book Antiqua" w:eastAsia="Book Antiqua" w:hAnsi="Book Antiqua"/>
      <w:color w:val="2B221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edf2f3178b56855a221bd0f9ffd3edfdfabf23f9.jpg"/><Relationship Id="rId12" Type="http://schemas.openxmlformats.org/officeDocument/2006/relationships/image" Target="media/76371c954bb3a2b51f64c4bc9b07ffe1b6e03688.jpg"/><Relationship Id="rId13" Type="http://schemas.openxmlformats.org/officeDocument/2006/relationships/image" Target="media/705abb9b335a2c137c6ba6900306bd70d67d6f5c.jpg"/><Relationship Id="rId14" Type="http://schemas.openxmlformats.org/officeDocument/2006/relationships/image" Target="media/7a7254c49f5cf79d3094e0a52e5fab436bbd8666.jpg"/><Relationship Id="rId15" Type="http://schemas.openxmlformats.org/officeDocument/2006/relationships/image" Target="media/e8a6427542f6ec9c91e84c4dfba52a7946d6bd93.jp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92e9e3abeb19b3fde6a8ff79c324663594000338.svg"/><Relationship Id="rId1" Type="http://schemas.openxmlformats.org/officeDocument/2006/relationships/image" Target="media/0dbace57ad3772199fe571a94f2bf8e23f010b83.png"/></Relationships>
</file>

<file path=word/_rels/header2.xml.rels><?xml version="1.0" encoding="UTF-8"?><Relationships xmlns="http://schemas.openxmlformats.org/package/2006/relationships"><Relationship Id="rId0" Type="http://schemas.openxmlformats.org/officeDocument/2006/relationships/image" Target="media/92e9e3abeb19b3fde6a8ff79c324663594000338.svg"/><Relationship Id="rId1" Type="http://schemas.openxmlformats.org/officeDocument/2006/relationships/image" Target="media/0dbace57ad3772199fe571a94f2bf8e23f010b8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Sustainable Procurement Policy - International Sustainable Procurement and Responsible Operations Group Limited</dc:title>
  <dc:creator>PolicyCraft</dc:creator>
  <cp:lastModifiedBy>Un-named</cp:lastModifiedBy>
  <cp:revision>1</cp:revision>
  <dcterms:created xsi:type="dcterms:W3CDTF">2026-09-08T05:38:20.975Z</dcterms:created>
  <dcterms:modified xsi:type="dcterms:W3CDTF">2026-09-08T05:38:20.976Z</dcterms:modified>
</cp:coreProperties>
</file>

<file path=docProps/custom.xml><?xml version="1.0" encoding="utf-8"?>
<Properties xmlns="http://schemas.openxmlformats.org/officeDocument/2006/custom-properties" xmlns:vt="http://schemas.openxmlformats.org/officeDocument/2006/docPropsVTypes"/>
</file>