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center"/>
      </w:pPr>
      <w:r>
        <w:rPr>
          <w:rFonts w:ascii="Book Antiqua" w:cs="Book Antiqua" w:eastAsia="Book Antiqua" w:hAnsi="Book Antiqua"/>
          <w:color w:val="796B63"/>
          <w:sz w:val="25"/>
          <w:szCs w:val="25"/>
        </w:rPr>
        <w:t xml:space="preserve">Acme Specialty Chemicals Pvt. Ltd.</w:t>
      </w:r>
    </w:p>
    <w:p>
      <w:pPr>
        <w:spacing w:before="2948"/>
      </w:pPr>
      <w:r>
        <w:rPr>
          <w:sz w:val="2"/>
          <w:szCs w:val="2"/>
        </w:rPr>
        <w:t xml:space="preserve"> </w:t>
      </w:r>
    </w:p>
    <w:p>
      <w:pPr>
        <w:spacing w:after="140"/>
        <w:jc w:val="center"/>
      </w:pPr>
      <w:r>
        <w:rPr>
          <w:rFonts w:ascii="Book Antiqua" w:cs="Book Antiqua" w:eastAsia="Book Antiqua" w:hAnsi="Book Antiqua"/>
          <w:b/>
          <w:bCs/>
          <w:color w:val="3C2B25"/>
          <w:sz w:val="68"/>
          <w:szCs w:val="68"/>
        </w:rPr>
        <w:t xml:space="preserve">Living Wage Policy</w:t>
      </w:r>
    </w:p>
    <w:p>
      <w:pPr>
        <w:spacing w:before="900"/>
      </w:pPr>
      <w:r>
        <w:rPr>
          <w:sz w:val="2"/>
          <w:szCs w:val="2"/>
        </w:rPr>
        <w:t xml:space="preserve"> </w:t>
      </w:r>
    </w:p>
    <w:p>
      <w:pPr>
        <w:pBdr>
          <w:top w:val="single" w:color="E2D5CE"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DOCUMENT NO.</w:t>
            </w:r>
          </w:p>
          <w:p>
            <w:pPr>
              <w:spacing w:after="180"/>
            </w:pPr>
            <w:r>
              <w:rPr>
                <w:rFonts w:ascii="Book Antiqua" w:cs="Book Antiqua" w:eastAsia="Book Antiqua" w:hAnsi="Book Antiqua"/>
                <w:color w:val="796B63"/>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EFFECTIVE DATE</w:t>
            </w:r>
          </w:p>
          <w:p>
            <w:pPr>
              <w:spacing w:after="180"/>
            </w:pPr>
            <w:r>
              <w:rPr>
                <w:rFonts w:ascii="Book Antiqua" w:cs="Book Antiqua" w:eastAsia="Book Antiqua" w:hAnsi="Book Antiqua"/>
                <w:color w:val="796B63"/>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REVISION</w:t>
            </w:r>
          </w:p>
          <w:p>
            <w:pPr>
              <w:spacing w:after="180"/>
            </w:pPr>
            <w:r>
              <w:rPr>
                <w:rFonts w:ascii="Book Antiqua" w:cs="Book Antiqua" w:eastAsia="Book Antiqua" w:hAnsi="Book Antiqua"/>
                <w:color w:val="796B63"/>
                <w:sz w:val="20"/>
                <w:szCs w:val="20"/>
              </w:rPr>
              <w:t xml:space="preserve">01</w:t>
            </w:r>
          </w:p>
        </w:tc>
        <w:tc>
          <w:tcPr>
            <w:tcW w:type="dxa" w:w="4706"/>
            <w:tcMar>
              <w:top w:type="dxa" w:w="120"/>
              <w:left w:type="dxa" w:w="120"/>
              <w:bottom w:type="dxa" w:w="120"/>
              <w:right w:type="dxa" w:w="120"/>
            </w:tcMar>
            <w:vAlign w:val="center"/>
          </w:tcPr>
          <w:p>
            <w:pPr>
              <w:spacing w:after="80"/>
            </w:pPr>
            <w:r>
              <w:rPr>
                <w:rFonts w:ascii="Book Antiqua" w:cs="Book Antiqua" w:eastAsia="Book Antiqua" w:hAnsi="Book Antiqua"/>
                <w:color w:val="796B63"/>
                <w:sz w:val="15"/>
                <w:szCs w:val="15"/>
              </w:rPr>
              <w:t xml:space="preserve">NEXT REVIEW</w:t>
            </w:r>
          </w:p>
          <w:p>
            <w:pPr>
              <w:spacing w:after="180"/>
            </w:pPr>
            <w:r>
              <w:rPr>
                <w:rFonts w:ascii="Book Antiqua" w:cs="Book Antiqua" w:eastAsia="Book Antiqua" w:hAnsi="Book Antiqua"/>
                <w:color w:val="796B63"/>
                <w:sz w:val="20"/>
                <w:szCs w:val="20"/>
              </w:rPr>
              <w:t xml:space="preserve">2027-01-14</w:t>
            </w:r>
          </w:p>
        </w:tc>
      </w:tr>
    </w:tbl>
    <w:p>
      <w:r>
        <w:br w:type="page"/>
      </w:r>
    </w:p>
    <w:p>
      <w:pPr>
        <w:pStyle w:val="PolicyHeading"/>
        <w:spacing w:after="360"/>
        <w:jc w:val="left"/>
      </w:pPr>
      <w:r>
        <w:t xml:space="preserve">Contents</w:t>
      </w:r>
    </w:p>
    <w:p>
      <w:pPr>
        <w:pBdr>
          <w:bottom w:val="dotted" w:color="E2D5CE" w:sz="3" w:space="1"/>
        </w:pBdr>
        <w:spacing w:after="95" w:before="60"/>
      </w:pPr>
      <w:hyperlink w:history="1" w:anchor="standard-preface">
        <w:r>
          <w:rPr>
            <w:rFonts w:ascii="Book Antiqua" w:cs="Book Antiqua" w:eastAsia="Book Antiqua" w:hAnsi="Book Antiqua"/>
            <w:b/>
            <w:bCs/>
            <w:color w:val="5E443A"/>
            <w:sz w:val="20"/>
            <w:szCs w:val="20"/>
          </w:rPr>
          <w:t xml:space="preserve">01   </w:t>
        </w:r>
        <w:r>
          <w:rPr>
            <w:rFonts w:ascii="Book Antiqua" w:cs="Book Antiqua" w:eastAsia="Book Antiqua" w:hAnsi="Book Antiqua"/>
            <w:color w:val="3C2B25"/>
            <w:sz w:val="20"/>
            <w:szCs w:val="20"/>
          </w:rPr>
          <w:t xml:space="preserve">Preface</w:t>
        </w:r>
      </w:hyperlink>
    </w:p>
    <w:p>
      <w:pPr>
        <w:pBdr>
          <w:bottom w:val="dotted" w:color="E2D5CE" w:sz="3" w:space="1"/>
        </w:pBdr>
        <w:spacing w:after="95" w:before="60"/>
      </w:pPr>
      <w:hyperlink w:history="1" w:anchor="standard-declaration">
        <w:r>
          <w:rPr>
            <w:rFonts w:ascii="Book Antiqua" w:cs="Book Antiqua" w:eastAsia="Book Antiqua" w:hAnsi="Book Antiqua"/>
            <w:b/>
            <w:bCs/>
            <w:color w:val="5E443A"/>
            <w:sz w:val="20"/>
            <w:szCs w:val="20"/>
          </w:rPr>
          <w:t xml:space="preserve">02   </w:t>
        </w:r>
        <w:r>
          <w:rPr>
            <w:rFonts w:ascii="Book Antiqua" w:cs="Book Antiqua" w:eastAsia="Book Antiqua" w:hAnsi="Book Antiqua"/>
            <w:color w:val="3C2B25"/>
            <w:sz w:val="20"/>
            <w:szCs w:val="20"/>
          </w:rPr>
          <w:t xml:space="preserve">Policy Declaration</w:t>
        </w:r>
      </w:hyperlink>
    </w:p>
    <w:p>
      <w:pPr>
        <w:pBdr>
          <w:bottom w:val="dotted" w:color="E2D5CE" w:sz="3" w:space="1"/>
        </w:pBdr>
        <w:spacing w:after="95" w:before="60"/>
      </w:pPr>
      <w:hyperlink w:history="1" w:anchor="standard-scope">
        <w:r>
          <w:rPr>
            <w:rFonts w:ascii="Book Antiqua" w:cs="Book Antiqua" w:eastAsia="Book Antiqua" w:hAnsi="Book Antiqua"/>
            <w:b/>
            <w:bCs/>
            <w:color w:val="5E443A"/>
            <w:sz w:val="20"/>
            <w:szCs w:val="20"/>
          </w:rPr>
          <w:t xml:space="preserve">03   </w:t>
        </w:r>
        <w:r>
          <w:rPr>
            <w:rFonts w:ascii="Book Antiqua" w:cs="Book Antiqua" w:eastAsia="Book Antiqua" w:hAnsi="Book Antiqua"/>
            <w:color w:val="3C2B25"/>
            <w:sz w:val="20"/>
            <w:szCs w:val="20"/>
          </w:rPr>
          <w:t xml:space="preserve">Scope</w:t>
        </w:r>
      </w:hyperlink>
    </w:p>
    <w:p>
      <w:pPr>
        <w:pBdr>
          <w:bottom w:val="dotted" w:color="E2D5CE" w:sz="3" w:space="1"/>
        </w:pBdr>
        <w:spacing w:after="95" w:before="60"/>
      </w:pPr>
      <w:hyperlink w:history="1" w:anchor="standard-focus">
        <w:r>
          <w:rPr>
            <w:rFonts w:ascii="Book Antiqua" w:cs="Book Antiqua" w:eastAsia="Book Antiqua" w:hAnsi="Book Antiqua"/>
            <w:b/>
            <w:bCs/>
            <w:color w:val="5E443A"/>
            <w:sz w:val="20"/>
            <w:szCs w:val="20"/>
          </w:rPr>
          <w:t xml:space="preserve">04   </w:t>
        </w:r>
        <w:r>
          <w:rPr>
            <w:rFonts w:ascii="Book Antiqua" w:cs="Book Antiqua" w:eastAsia="Book Antiqua" w:hAnsi="Book Antiqua"/>
            <w:color w:val="3C2B25"/>
            <w:sz w:val="20"/>
            <w:szCs w:val="20"/>
          </w:rPr>
          <w:t xml:space="preserve">Key Focus Areas</w:t>
        </w:r>
      </w:hyperlink>
    </w:p>
    <w:p>
      <w:pPr>
        <w:pBdr>
          <w:bottom w:val="dotted" w:color="E2D5CE" w:sz="3" w:space="1"/>
        </w:pBdr>
        <w:spacing w:after="95" w:before="60"/>
      </w:pPr>
      <w:hyperlink w:history="1" w:anchor="standard-qualitative">
        <w:r>
          <w:rPr>
            <w:rFonts w:ascii="Book Antiqua" w:cs="Book Antiqua" w:eastAsia="Book Antiqua" w:hAnsi="Book Antiqua"/>
            <w:b/>
            <w:bCs/>
            <w:color w:val="5E443A"/>
            <w:sz w:val="20"/>
            <w:szCs w:val="20"/>
          </w:rPr>
          <w:t xml:space="preserve">05   </w:t>
        </w:r>
        <w:r>
          <w:rPr>
            <w:rFonts w:ascii="Book Antiqua" w:cs="Book Antiqua" w:eastAsia="Book Antiqua" w:hAnsi="Book Antiqua"/>
            <w:color w:val="3C2B25"/>
            <w:sz w:val="20"/>
            <w:szCs w:val="20"/>
          </w:rPr>
          <w:t xml:space="preserve">Qualitative Objectives</w:t>
        </w:r>
      </w:hyperlink>
    </w:p>
    <w:p>
      <w:pPr>
        <w:pBdr>
          <w:bottom w:val="dotted" w:color="E2D5CE" w:sz="3" w:space="1"/>
        </w:pBdr>
        <w:spacing w:after="95" w:before="60"/>
      </w:pPr>
      <w:hyperlink w:history="1" w:anchor="standard-quantitative">
        <w:r>
          <w:rPr>
            <w:rFonts w:ascii="Book Antiqua" w:cs="Book Antiqua" w:eastAsia="Book Antiqua" w:hAnsi="Book Antiqua"/>
            <w:b/>
            <w:bCs/>
            <w:color w:val="5E443A"/>
            <w:sz w:val="20"/>
            <w:szCs w:val="20"/>
          </w:rPr>
          <w:t xml:space="preserve">06   </w:t>
        </w:r>
        <w:r>
          <w:rPr>
            <w:rFonts w:ascii="Book Antiqua" w:cs="Book Antiqua" w:eastAsia="Book Antiqua" w:hAnsi="Book Antiqua"/>
            <w:color w:val="3C2B25"/>
            <w:sz w:val="20"/>
            <w:szCs w:val="20"/>
          </w:rPr>
          <w:t xml:space="preserve">Quantitative Targets</w:t>
        </w:r>
      </w:hyperlink>
    </w:p>
    <w:p>
      <w:pPr>
        <w:pBdr>
          <w:bottom w:val="dotted" w:color="E2D5CE" w:sz="3" w:space="1"/>
        </w:pBdr>
        <w:spacing w:after="95" w:before="60"/>
      </w:pPr>
      <w:hyperlink w:history="1" w:anchor="standard-sdg">
        <w:r>
          <w:rPr>
            <w:rFonts w:ascii="Book Antiqua" w:cs="Book Antiqua" w:eastAsia="Book Antiqua" w:hAnsi="Book Antiqua"/>
            <w:b/>
            <w:bCs/>
            <w:color w:val="5E443A"/>
            <w:sz w:val="20"/>
            <w:szCs w:val="20"/>
          </w:rPr>
          <w:t xml:space="preserve">07   </w:t>
        </w:r>
        <w:r>
          <w:rPr>
            <w:rFonts w:ascii="Book Antiqua" w:cs="Book Antiqua" w:eastAsia="Book Antiqua" w:hAnsi="Book Antiqua"/>
            <w:color w:val="3C2B25"/>
            <w:sz w:val="20"/>
            <w:szCs w:val="20"/>
          </w:rPr>
          <w:t xml:space="preserve">SDG Alignment</w:t>
        </w:r>
      </w:hyperlink>
    </w:p>
    <w:p>
      <w:pPr>
        <w:pBdr>
          <w:bottom w:val="dotted" w:color="E2D5CE" w:sz="3" w:space="1"/>
        </w:pBdr>
        <w:spacing w:after="95" w:before="60"/>
      </w:pPr>
      <w:hyperlink w:history="1" w:anchor="standard-responsibilities">
        <w:r>
          <w:rPr>
            <w:rFonts w:ascii="Book Antiqua" w:cs="Book Antiqua" w:eastAsia="Book Antiqua" w:hAnsi="Book Antiqua"/>
            <w:b/>
            <w:bCs/>
            <w:color w:val="5E443A"/>
            <w:sz w:val="20"/>
            <w:szCs w:val="20"/>
          </w:rPr>
          <w:t xml:space="preserve">08   </w:t>
        </w:r>
        <w:r>
          <w:rPr>
            <w:rFonts w:ascii="Book Antiqua" w:cs="Book Antiqua" w:eastAsia="Book Antiqua" w:hAnsi="Book Antiqua"/>
            <w:color w:val="3C2B25"/>
            <w:sz w:val="20"/>
            <w:szCs w:val="20"/>
          </w:rPr>
          <w:t xml:space="preserve">Roles &amp; Responsibilities</w:t>
        </w:r>
      </w:hyperlink>
    </w:p>
    <w:p>
      <w:pPr>
        <w:pBdr>
          <w:bottom w:val="dotted" w:color="E2D5CE" w:sz="3" w:space="1"/>
        </w:pBdr>
        <w:spacing w:after="95" w:before="60"/>
      </w:pPr>
      <w:hyperlink w:history="1" w:anchor="standard-monitoring">
        <w:r>
          <w:rPr>
            <w:rFonts w:ascii="Book Antiqua" w:cs="Book Antiqua" w:eastAsia="Book Antiqua" w:hAnsi="Book Antiqua"/>
            <w:b/>
            <w:bCs/>
            <w:color w:val="5E443A"/>
            <w:sz w:val="20"/>
            <w:szCs w:val="20"/>
          </w:rPr>
          <w:t xml:space="preserve">09   </w:t>
        </w:r>
        <w:r>
          <w:rPr>
            <w:rFonts w:ascii="Book Antiqua" w:cs="Book Antiqua" w:eastAsia="Book Antiqua" w:hAnsi="Book Antiqua"/>
            <w:color w:val="3C2B25"/>
            <w:sz w:val="20"/>
            <w:szCs w:val="20"/>
          </w:rPr>
          <w:t xml:space="preserve">Monitoring, Reporting &amp; Transparency</w:t>
        </w:r>
      </w:hyperlink>
    </w:p>
    <w:p>
      <w:pPr>
        <w:pBdr>
          <w:bottom w:val="dotted" w:color="E2D5CE" w:sz="3" w:space="1"/>
        </w:pBdr>
        <w:spacing w:after="95" w:before="60"/>
      </w:pPr>
      <w:hyperlink w:history="1" w:anchor="standard-review">
        <w:r>
          <w:rPr>
            <w:rFonts w:ascii="Book Antiqua" w:cs="Book Antiqua" w:eastAsia="Book Antiqua" w:hAnsi="Book Antiqua"/>
            <w:b/>
            <w:bCs/>
            <w:color w:val="5E443A"/>
            <w:sz w:val="20"/>
            <w:szCs w:val="20"/>
          </w:rPr>
          <w:t xml:space="preserve">10   </w:t>
        </w:r>
        <w:r>
          <w:rPr>
            <w:rFonts w:ascii="Book Antiqua" w:cs="Book Antiqua" w:eastAsia="Book Antiqua" w:hAnsi="Book Antiqua"/>
            <w:color w:val="3C2B25"/>
            <w:sz w:val="20"/>
            <w:szCs w:val="20"/>
          </w:rPr>
          <w:t xml:space="preserve">Review Mechanism &amp; Continuous Improvement</w:t>
        </w:r>
      </w:hyperlink>
    </w:p>
    <w:p>
      <w:r>
        <w:br w:type="page"/>
      </w:r>
    </w:p>
    <w:p>
      <w:pPr>
        <w:pStyle w:val="PolicyHeading"/>
        <w:pBdr>
          <w:bottom w:val="single" w:color="5E443A" w:sz="4" w:space="1"/>
        </w:pBdr>
        <w:spacing w:after="180" w:before="260"/>
        <w:jc w:val="left"/>
      </w:pPr>
      <w:bookmarkStart w:name="standard-preface" w:id="1"/>
      <w:bookmarkEnd w:id="1"/>
      <w:r>
        <w:rPr>
          <w:rFonts w:ascii="Book Antiqua" w:cs="Book Antiqua" w:eastAsia="Book Antiqua" w:hAnsi="Book Antiqua"/>
          <w:color w:val="796B63"/>
          <w:sz w:val="20"/>
          <w:szCs w:val="20"/>
        </w:rPr>
        <w:t xml:space="preserve">01   </w:t>
      </w:r>
      <w:r>
        <w:rPr>
          <w:rFonts w:ascii="Book Antiqua" w:cs="Book Antiqua" w:eastAsia="Book Antiqua" w:hAnsi="Book Antiqua"/>
          <w:b/>
          <w:bCs/>
          <w:color w:val="3C2B25"/>
          <w:sz w:val="34"/>
          <w:szCs w:val="34"/>
        </w:rPr>
        <w:t xml:space="preserve">Preface</w:t>
      </w:r>
    </w:p>
    <w:p>
      <w:pPr>
        <w:pStyle w:val="PolicyBody"/>
        <w:spacing w:after="150" w:line="360"/>
        <w:jc w:val="both"/>
      </w:pPr>
      <w:r>
        <w:rPr>
          <w:rFonts w:ascii="Book Antiqua" w:cs="Book Antiqua" w:eastAsia="Book Antiqua" w:hAnsi="Book Antiqua"/>
          <w:b/>
          <w:bCs/>
          <w:color w:val="9B4E2D"/>
          <w:sz w:val="46"/>
          <w:szCs w:val="46"/>
        </w:rPr>
        <w:t xml:space="preserve">L</w:t>
      </w:r>
      <w:r>
        <w:rPr>
          <w:rFonts w:ascii="Book Antiqua" w:cs="Book Antiqua" w:eastAsia="Book Antiqua" w:hAnsi="Book Antiqua"/>
          <w:sz w:val="22"/>
          <w:szCs w:val="22"/>
        </w:rPr>
        <w:t xml:space="preserve">iving Wage Policy provides a consistent framework for Acme Specialty Chemicals Pvt. Ltd. to define responsibilities, make decisions, and review performance across its activities and locations.</w:t>
      </w:r>
    </w:p>
    <w:p>
      <w:pPr>
        <w:spacing w:before="165"/>
      </w:pPr>
      <w:r>
        <w:rPr>
          <w:sz w:val="2"/>
          <w:szCs w:val="2"/>
        </w:rPr>
        <w:t xml:space="preserve"> </w:t>
      </w:r>
    </w:p>
    <w:p>
      <w:pPr>
        <w:pStyle w:val="PolicyHeading"/>
        <w:pBdr>
          <w:bottom w:val="single" w:color="5E443A" w:sz="4" w:space="1"/>
        </w:pBdr>
        <w:spacing w:after="180" w:before="260"/>
        <w:jc w:val="left"/>
      </w:pPr>
      <w:bookmarkStart w:name="standard-declaration" w:id="1"/>
      <w:bookmarkEnd w:id="1"/>
      <w:r>
        <w:rPr>
          <w:rFonts w:ascii="Book Antiqua" w:cs="Book Antiqua" w:eastAsia="Book Antiqua" w:hAnsi="Book Antiqua"/>
          <w:color w:val="796B63"/>
          <w:sz w:val="20"/>
          <w:szCs w:val="20"/>
        </w:rPr>
        <w:t xml:space="preserve">02   </w:t>
      </w:r>
      <w:r>
        <w:rPr>
          <w:rFonts w:ascii="Book Antiqua" w:cs="Book Antiqua" w:eastAsia="Book Antiqua" w:hAnsi="Book Antiqua"/>
          <w:b/>
          <w:bCs/>
          <w:color w:val="3C2B25"/>
          <w:sz w:val="34"/>
          <w:szCs w:val="34"/>
        </w:rPr>
        <w:t xml:space="preserve">Policy Declaration</w:t>
      </w:r>
    </w:p>
    <w:p>
      <w:pPr>
        <w:pStyle w:val="PolicyBody"/>
        <w:spacing w:after="150" w:line="360"/>
        <w:jc w:val="both"/>
      </w:pPr>
      <w:r>
        <w:rPr>
          <w:rFonts w:ascii="Book Antiqua" w:cs="Book Antiqua" w:eastAsia="Book Antiqua" w:hAnsi="Book Antiqua"/>
          <w:b/>
          <w:bCs/>
          <w:color w:val="9B4E2D"/>
          <w:sz w:val="46"/>
          <w:szCs w:val="46"/>
        </w:rPr>
        <w:t xml:space="preserve">A</w:t>
      </w:r>
      <w:r>
        <w:rPr>
          <w:rFonts w:ascii="Book Antiqua" w:cs="Book Antiqua" w:eastAsia="Book Antiqua" w:hAnsi="Book Antiqua"/>
          <w:sz w:val="22"/>
          <w:szCs w:val="22"/>
        </w:rPr>
        <w:t xml:space="preserve">cme Specialty Chemicals affirms its commitment to implementing this Living Wage Policy in line with applicable requirements, proportionate controls, and regular management review.</w:t>
      </w:r>
    </w:p>
    <w:p>
      <w:pPr>
        <w:spacing w:before="165"/>
      </w:pPr>
      <w:r>
        <w:rPr>
          <w:sz w:val="2"/>
          <w:szCs w:val="2"/>
        </w:rPr>
        <w:t xml:space="preserve"> </w:t>
      </w:r>
    </w:p>
    <w:p>
      <w:pPr>
        <w:pStyle w:val="PolicyHeading"/>
        <w:pBdr>
          <w:bottom w:val="single" w:color="5E443A" w:sz="4" w:space="1"/>
        </w:pBdr>
        <w:spacing w:after="180" w:before="260"/>
        <w:jc w:val="left"/>
      </w:pPr>
      <w:bookmarkStart w:name="standard-scope" w:id="1"/>
      <w:bookmarkEnd w:id="1"/>
      <w:r>
        <w:rPr>
          <w:rFonts w:ascii="Book Antiqua" w:cs="Book Antiqua" w:eastAsia="Book Antiqua" w:hAnsi="Book Antiqua"/>
          <w:color w:val="796B63"/>
          <w:sz w:val="20"/>
          <w:szCs w:val="20"/>
        </w:rPr>
        <w:t xml:space="preserve">03   </w:t>
      </w:r>
      <w:r>
        <w:rPr>
          <w:rFonts w:ascii="Book Antiqua" w:cs="Book Antiqua" w:eastAsia="Book Antiqua" w:hAnsi="Book Antiqua"/>
          <w:b/>
          <w:bCs/>
          <w:color w:val="3C2B25"/>
          <w:sz w:val="34"/>
          <w:szCs w:val="34"/>
        </w:rPr>
        <w:t xml:space="preserve">Scope</w:t>
      </w:r>
    </w:p>
    <w:p>
      <w:pPr>
        <w:pStyle w:val="PolicyBody"/>
        <w:spacing w:after="150" w:line="360"/>
        <w:jc w:val="both"/>
      </w:pPr>
      <w:r>
        <w:rPr>
          <w:rFonts w:ascii="Book Antiqua" w:cs="Book Antiqua" w:eastAsia="Book Antiqua" w:hAnsi="Book Antiqua"/>
          <w:b/>
          <w:bCs/>
          <w:color w:val="9B4E2D"/>
          <w:sz w:val="46"/>
          <w:szCs w:val="46"/>
        </w:rPr>
        <w:t xml:space="preserve">T</w:t>
      </w:r>
      <w:r>
        <w:rPr>
          <w:rFonts w:ascii="Book Antiqua" w:cs="Book Antiqua" w:eastAsia="Book Antiqua" w:hAnsi="Book Antiqua"/>
          <w:sz w:val="22"/>
          <w:szCs w:val="22"/>
        </w:rPr>
        <w:t xml:space="preserve">his Living Wage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E2D5CE" w:sz="5" w:space="1"/>
              <w:left w:val="single" w:color="E2D5CE" w:sz="5" w:space="1"/>
              <w:bottom w:val="single" w:color="E2D5CE" w:sz="5" w:space="1"/>
              <w:right w:val="single" w:color="E2D5CE" w:sz="5" w:space="1"/>
            </w:tcBorders>
            <w:shd w:fill="5E443A" w:color="5E443A"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E2D5CE" w:sz="5" w:space="1"/>
              <w:left w:val="single" w:color="E2D5CE" w:sz="5" w:space="1"/>
              <w:bottom w:val="single" w:color="E2D5CE" w:sz="5" w:space="1"/>
              <w:right w:val="single" w:color="E2D5CE" w:sz="5" w:space="1"/>
            </w:tcBorders>
            <w:shd w:fill="5E443A" w:color="5E443A"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E2D5CE" w:sz="5" w:space="1"/>
              <w:left w:val="single" w:color="E2D5CE" w:sz="5" w:space="1"/>
              <w:bottom w:val="single" w:color="E2D5CE" w:sz="5" w:space="1"/>
              <w:right w:val="single" w:color="E2D5CE" w:sz="5" w:space="1"/>
            </w:tcBorders>
            <w:shd w:fill="5E443A" w:color="5E443A"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E2D5CE" w:sz="5" w:space="1"/>
              <w:left w:val="single" w:color="E2D5CE" w:sz="5" w:space="1"/>
              <w:bottom w:val="single" w:color="E2D5CE" w:sz="5" w:space="1"/>
              <w:right w:val="single" w:color="E2D5CE"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E2D5CE" w:sz="5" w:space="1"/>
              <w:left w:val="single" w:color="E2D5CE" w:sz="5" w:space="1"/>
              <w:bottom w:val="single" w:color="E2D5CE" w:sz="5" w:space="1"/>
              <w:right w:val="single" w:color="E2D5CE"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E2D5CE" w:sz="5" w:space="1"/>
              <w:left w:val="single" w:color="E2D5CE" w:sz="5" w:space="1"/>
              <w:bottom w:val="single" w:color="E2D5CE" w:sz="5" w:space="1"/>
              <w:right w:val="single" w:color="E2D5CE"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focus" w:id="1"/>
      <w:bookmarkEnd w:id="1"/>
      <w:r>
        <w:rPr>
          <w:rFonts w:ascii="Book Antiqua" w:cs="Book Antiqua" w:eastAsia="Book Antiqua" w:hAnsi="Book Antiqua"/>
          <w:color w:val="796B63"/>
          <w:sz w:val="20"/>
          <w:szCs w:val="20"/>
        </w:rPr>
        <w:t xml:space="preserve">04   </w:t>
      </w:r>
      <w:r>
        <w:rPr>
          <w:rFonts w:ascii="Book Antiqua" w:cs="Book Antiqua" w:eastAsia="Book Antiqua" w:hAnsi="Book Antiqua"/>
          <w:b/>
          <w:bCs/>
          <w:color w:val="3C2B25"/>
          <w:sz w:val="34"/>
          <w:szCs w:val="34"/>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01</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Living-Wage Benchmark &amp; Methodology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02</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Legal Minimum-Wage Compliance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03</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Benefits, Allowances &amp; Total Remuneration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04</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Pay Equity &amp; Transparency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05</w:t>
            </w:r>
          </w:p>
        </w:tc>
        <w:tc>
          <w:tcPr>
            <w:tcW w:type="dxa" w:w="8512"/>
            <w:tcBorders>
              <w:top w:val="single" w:color="E2D5CE" w:sz="5" w:space="1"/>
            </w:tcBorders>
            <w:tcMar>
              <w:top w:type="dxa" w:w="120"/>
              <w:left w:type="dxa" w:w="120"/>
              <w:bottom w:type="dxa" w:w="120"/>
              <w:right w:type="dxa" w:w="120"/>
            </w:tcMar>
            <w:vAlign w:val="center"/>
          </w:tcPr>
          <w:p>
            <w:r>
              <w:rPr>
                <w:b w:val="false"/>
                <w:bCs w:val="false"/>
                <w:color w:val="2B221E"/>
                <w:sz w:val="20"/>
                <w:szCs w:val="20"/>
              </w:rPr>
              <w:t xml:space="preserve">Timely, Traceable Payment</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qualitative" w:id="1"/>
      <w:bookmarkEnd w:id="1"/>
      <w:r>
        <w:rPr>
          <w:rFonts w:ascii="Book Antiqua" w:cs="Book Antiqua" w:eastAsia="Book Antiqua" w:hAnsi="Book Antiqua"/>
          <w:color w:val="796B63"/>
          <w:sz w:val="20"/>
          <w:szCs w:val="20"/>
        </w:rPr>
        <w:t xml:space="preserve">05   </w:t>
      </w:r>
      <w:r>
        <w:rPr>
          <w:rFonts w:ascii="Book Antiqua" w:cs="Book Antiqua" w:eastAsia="Book Antiqua" w:hAnsi="Book Antiqua"/>
          <w:b/>
          <w:bCs/>
          <w:color w:val="3C2B25"/>
          <w:sz w:val="34"/>
          <w:szCs w:val="34"/>
        </w:rPr>
        <w:t xml:space="preserve">Qualitative Objectives</w:t>
      </w:r>
    </w:p>
    <w:p>
      <w:pPr>
        <w:spacing w:after="90"/>
      </w:pPr>
      <w:r>
        <w:rPr>
          <w:rFonts w:ascii="Book Antiqua" w:cs="Book Antiqua" w:eastAsia="Book Antiqua" w:hAnsi="Book Antiqua"/>
          <w:b/>
          <w:bCs/>
          <w:color w:val="5E443A"/>
          <w:sz w:val="18"/>
          <w:szCs w:val="18"/>
        </w:rPr>
        <w:t xml:space="preserve">01  </w:t>
      </w:r>
      <w:r>
        <w:rPr>
          <w:rFonts w:ascii="Book Antiqua" w:cs="Book Antiqua" w:eastAsia="Book Antiqua" w:hAnsi="Book Antiqua"/>
          <w:b/>
          <w:bCs/>
          <w:color w:val="3C2B25"/>
          <w:sz w:val="26"/>
          <w:szCs w:val="26"/>
        </w:rPr>
        <w:t xml:space="preserve">Living-Wage Benchmark &amp; Methodology</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living-wage benchmark &amp; methodology.</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living-wage benchmark &amp; methodology.</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living-wage benchmark &amp; methodology.</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02  </w:t>
      </w:r>
      <w:r>
        <w:rPr>
          <w:rFonts w:ascii="Book Antiqua" w:cs="Book Antiqua" w:eastAsia="Book Antiqua" w:hAnsi="Book Antiqua"/>
          <w:b/>
          <w:bCs/>
          <w:color w:val="3C2B25"/>
          <w:sz w:val="26"/>
          <w:szCs w:val="26"/>
        </w:rPr>
        <w:t xml:space="preserve">Legal Minimum-Wage Compliance</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legal minimum-wage compliance.</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legal minimum-wage compliance.</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legal minimum-wage compliance.</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03  </w:t>
      </w:r>
      <w:r>
        <w:rPr>
          <w:rFonts w:ascii="Book Antiqua" w:cs="Book Antiqua" w:eastAsia="Book Antiqua" w:hAnsi="Book Antiqua"/>
          <w:b/>
          <w:bCs/>
          <w:color w:val="3C2B25"/>
          <w:sz w:val="26"/>
          <w:szCs w:val="26"/>
        </w:rPr>
        <w:t xml:space="preserve">Benefits, Allowances &amp; Total Remuneration</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benefits, allowances &amp; total remuneration.</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benefits, allowances &amp; total remuneration.</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benefits, allowances &amp; total remuneration.</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04  </w:t>
      </w:r>
      <w:r>
        <w:rPr>
          <w:rFonts w:ascii="Book Antiqua" w:cs="Book Antiqua" w:eastAsia="Book Antiqua" w:hAnsi="Book Antiqua"/>
          <w:b/>
          <w:bCs/>
          <w:color w:val="3C2B25"/>
          <w:sz w:val="26"/>
          <w:szCs w:val="26"/>
        </w:rPr>
        <w:t xml:space="preserve">Pay Equity &amp; Transparency</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pay equity &amp; transparency.</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pay equity &amp; transparency.</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pay equity &amp; transparency.</w:t>
      </w:r>
    </w:p>
    <w:p>
      <w:pPr>
        <w:spacing w:before="70"/>
      </w:pPr>
      <w:r>
        <w:rPr>
          <w:sz w:val="2"/>
          <w:szCs w:val="2"/>
        </w:rPr>
        <w:t xml:space="preserve"> </w:t>
      </w:r>
    </w:p>
    <w:p>
      <w:pPr>
        <w:spacing w:after="90"/>
      </w:pPr>
      <w:r>
        <w:rPr>
          <w:rFonts w:ascii="Book Antiqua" w:cs="Book Antiqua" w:eastAsia="Book Antiqua" w:hAnsi="Book Antiqua"/>
          <w:b/>
          <w:bCs/>
          <w:color w:val="5E443A"/>
          <w:sz w:val="18"/>
          <w:szCs w:val="18"/>
        </w:rPr>
        <w:t xml:space="preserve">05  </w:t>
      </w:r>
      <w:r>
        <w:rPr>
          <w:rFonts w:ascii="Book Antiqua" w:cs="Book Antiqua" w:eastAsia="Book Antiqua" w:hAnsi="Book Antiqua"/>
          <w:b/>
          <w:bCs/>
          <w:color w:val="3C2B25"/>
          <w:sz w:val="26"/>
          <w:szCs w:val="26"/>
        </w:rPr>
        <w:t xml:space="preserve">Timely, Traceable Payment</w:t>
      </w:r>
    </w:p>
    <w:p>
      <w:pPr>
        <w:pStyle w:val="PolicyBody"/>
        <w:numPr>
          <w:ilvl w:val="0"/>
          <w:numId w:val="2"/>
        </w:numPr>
        <w:spacing w:after="90" w:line="360"/>
      </w:pPr>
      <w:r>
        <w:rPr>
          <w:rFonts w:ascii="Book Antiqua" w:cs="Book Antiqua" w:eastAsia="Book Antiqua" w:hAnsi="Book Antiqua"/>
          <w:color w:val="2B221E"/>
          <w:sz w:val="22"/>
          <w:szCs w:val="22"/>
        </w:rPr>
        <w:t xml:space="preserve">Assign accountable ownership and approved procedures for timely, traceable payment.</w:t>
      </w:r>
    </w:p>
    <w:p>
      <w:pPr>
        <w:pStyle w:val="PolicyBody"/>
        <w:numPr>
          <w:ilvl w:val="0"/>
          <w:numId w:val="2"/>
        </w:numPr>
        <w:spacing w:after="90" w:line="360"/>
      </w:pPr>
      <w:r>
        <w:rPr>
          <w:rFonts w:ascii="Book Antiqua" w:cs="Book Antiqua" w:eastAsia="Book Antiqua" w:hAnsi="Book Antiqua"/>
          <w:color w:val="2B221E"/>
          <w:sz w:val="22"/>
          <w:szCs w:val="22"/>
        </w:rPr>
        <w:t xml:space="preserve">Identify material risks and improvement opportunities related to timely, traceable payment.</w:t>
      </w:r>
    </w:p>
    <w:p>
      <w:pPr>
        <w:pStyle w:val="PolicyBody"/>
        <w:numPr>
          <w:ilvl w:val="0"/>
          <w:numId w:val="2"/>
        </w:numPr>
        <w:spacing w:after="90" w:line="360"/>
      </w:pPr>
      <w:r>
        <w:rPr>
          <w:rFonts w:ascii="Book Antiqua" w:cs="Book Antiqua" w:eastAsia="Book Antiqua" w:hAnsi="Book Antiqua"/>
          <w:color w:val="2B221E"/>
          <w:sz w:val="22"/>
          <w:szCs w:val="22"/>
        </w:rPr>
        <w:t xml:space="preserve">Define measures, evidence sources and review frequency for timely, traceable payment.</w:t>
      </w:r>
    </w:p>
    <w:p>
      <w:pPr>
        <w:spacing w:before="70"/>
      </w:pPr>
      <w:r>
        <w:rPr>
          <w:sz w:val="2"/>
          <w:szCs w:val="2"/>
        </w:rPr>
        <w:t xml:space="preserve"> </w:t>
      </w:r>
    </w:p>
    <w:p>
      <w:pPr>
        <w:spacing w:before="165"/>
      </w:pPr>
      <w:r>
        <w:rPr>
          <w:sz w:val="2"/>
          <w:szCs w:val="2"/>
        </w:rPr>
        <w:t xml:space="preserve"> </w:t>
      </w:r>
    </w:p>
    <w:p>
      <w:pPr>
        <w:pStyle w:val="PolicyHeading"/>
        <w:pBdr>
          <w:bottom w:val="single" w:color="5E443A" w:sz="4" w:space="1"/>
        </w:pBdr>
        <w:spacing w:after="180" w:before="260"/>
        <w:jc w:val="left"/>
      </w:pPr>
      <w:bookmarkStart w:name="standard-quantitative" w:id="1"/>
      <w:bookmarkEnd w:id="1"/>
      <w:r>
        <w:rPr>
          <w:rFonts w:ascii="Book Antiqua" w:cs="Book Antiqua" w:eastAsia="Book Antiqua" w:hAnsi="Book Antiqua"/>
          <w:color w:val="796B63"/>
          <w:sz w:val="20"/>
          <w:szCs w:val="20"/>
        </w:rPr>
        <w:t xml:space="preserve">06   </w:t>
      </w:r>
      <w:r>
        <w:rPr>
          <w:rFonts w:ascii="Book Antiqua" w:cs="Book Antiqua" w:eastAsia="Book Antiqua" w:hAnsi="Book Antiqua"/>
          <w:b/>
          <w:bCs/>
          <w:color w:val="3C2B25"/>
          <w:sz w:val="34"/>
          <w:szCs w:val="34"/>
        </w:rPr>
        <w:t xml:space="preserve">Quantitative Targets</w:t>
      </w:r>
    </w:p>
    <w:p>
      <w:pPr>
        <w:spacing w:after="120"/>
      </w:pPr>
      <w:r>
        <w:rPr>
          <w:rFonts w:ascii="Book Antiqua" w:cs="Book Antiqua" w:eastAsia="Book Antiqua" w:hAnsi="Book Antiqua"/>
          <w:i/>
          <w:iCs/>
          <w:color w:val="796B63"/>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F3EAE4" w:color="F3EAE4" w:val="solid"/>
            <w:tcMar>
              <w:top w:type="dxa" w:w="120"/>
              <w:left w:type="dxa" w:w="120"/>
              <w:bottom w:type="dxa" w:w="120"/>
              <w:right w:type="dxa" w:w="120"/>
            </w:tcMar>
            <w:vAlign w:val="center"/>
          </w:tcPr>
          <w:p>
            <w:pPr>
              <w:jc w:val="center"/>
            </w:pPr>
            <w:r>
              <w:rPr>
                <w:rFonts w:ascii="Book Antiqua" w:cs="Book Antiqua" w:eastAsia="Book Antiqua" w:hAnsi="Book Antiqua"/>
                <w:color w:val="5E443A"/>
                <w:sz w:val="30"/>
                <w:szCs w:val="30"/>
              </w:rPr>
              <w:t xml:space="preserve">01</w:t>
            </w:r>
          </w:p>
        </w:tc>
        <w:tc>
          <w:tcPr>
            <w:tcW w:type="dxa" w:w="6762"/>
            <w:tcBorders>
              <w:left w:val="single" w:color="E2D5CE" w:sz="5" w:space="1"/>
              <w:right w:val="single" w:color="E2D5CE" w:sz="5" w:space="1"/>
            </w:tcBorders>
            <w:shd w:fill="F3EAE4" w:color="F3EAE4" w:val="solid"/>
            <w:tcMar>
              <w:top w:type="dxa" w:w="120"/>
              <w:left w:type="dxa" w:w="120"/>
              <w:bottom w:type="dxa" w:w="120"/>
              <w:right w:type="dxa" w:w="120"/>
            </w:tcMar>
            <w:vAlign w:val="center"/>
          </w:tcPr>
          <w:p>
            <w:pPr>
              <w:spacing w:after="55"/>
            </w:pPr>
            <w:r>
              <w:rPr>
                <w:rFonts w:ascii="Book Antiqua" w:cs="Book Antiqua" w:eastAsia="Book Antiqua" w:hAnsi="Book Antiqua"/>
                <w:b/>
                <w:bCs/>
                <w:color w:val="3C2B25"/>
                <w:sz w:val="26"/>
                <w:szCs w:val="26"/>
              </w:rPr>
              <w:t xml:space="preserve">Living-Wage Benchmark &amp; Methodology</w:t>
            </w:r>
          </w:p>
          <w:p>
            <w:r>
              <w:rPr>
                <w:rFonts w:ascii="Book Antiqua" w:cs="Book Antiqua" w:eastAsia="Book Antiqua" w:hAnsi="Book Antiqua"/>
                <w:sz w:val="22"/>
                <w:szCs w:val="22"/>
              </w:rPr>
              <w:t xml:space="preserve">Achieve the approved living-wage benchmark &amp; methodology target</w:t>
            </w:r>
          </w:p>
        </w:tc>
        <w:tc>
          <w:tcPr>
            <w:tcW w:type="dxa" w:w="1900"/>
            <w:shd w:fill="F3EAE4" w:color="F3EAE4" w:val="solid"/>
            <w:tcMar>
              <w:top w:type="dxa" w:w="120"/>
              <w:left w:type="dxa" w:w="120"/>
              <w:bottom w:type="dxa" w:w="120"/>
              <w:right w:type="dxa" w:w="120"/>
            </w:tcMar>
            <w:vAlign w:val="center"/>
          </w:tcPr>
          <w:p>
            <w:r>
              <w:rPr>
                <w:rFonts w:ascii="Book Antiqua" w:cs="Book Antiqua" w:eastAsia="Book Antiqua" w:hAnsi="Book Antiqua"/>
                <w:b/>
                <w:bCs/>
                <w:color w:val="2B221E"/>
                <w:sz w:val="14"/>
                <w:szCs w:val="14"/>
              </w:rPr>
              <w:t xml:space="preserve">FY 2028-29</w:t>
            </w:r>
          </w:p>
          <w:p>
            <w:pPr>
              <w:spacing w:before="45"/>
            </w:pPr>
            <w:r>
              <w:rPr>
                <w:rFonts w:ascii="Book Antiqua" w:cs="Book Antiqua" w:eastAsia="Book Antiqua" w:hAnsi="Book Antiqua"/>
                <w:color w:val="796B63"/>
                <w:sz w:val="14"/>
                <w:szCs w:val="14"/>
              </w:rPr>
              <w:t xml:space="preserve">FY 2024-25</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F3EAE4" w:color="F3EAE4" w:val="solid"/>
            <w:tcMar>
              <w:top w:type="dxa" w:w="120"/>
              <w:left w:type="dxa" w:w="120"/>
              <w:bottom w:type="dxa" w:w="120"/>
              <w:right w:type="dxa" w:w="120"/>
            </w:tcMar>
            <w:vAlign w:val="center"/>
          </w:tcPr>
          <w:p>
            <w:pPr>
              <w:jc w:val="center"/>
            </w:pPr>
            <w:r>
              <w:rPr>
                <w:rFonts w:ascii="Book Antiqua" w:cs="Book Antiqua" w:eastAsia="Book Antiqua" w:hAnsi="Book Antiqua"/>
                <w:color w:val="5E443A"/>
                <w:sz w:val="30"/>
                <w:szCs w:val="30"/>
              </w:rPr>
              <w:t xml:space="preserve">02</w:t>
            </w:r>
          </w:p>
        </w:tc>
        <w:tc>
          <w:tcPr>
            <w:tcW w:type="dxa" w:w="6762"/>
            <w:tcBorders>
              <w:left w:val="single" w:color="E2D5CE" w:sz="5" w:space="1"/>
              <w:right w:val="single" w:color="E2D5CE" w:sz="5" w:space="1"/>
            </w:tcBorders>
            <w:shd w:fill="F3EAE4" w:color="F3EAE4" w:val="solid"/>
            <w:tcMar>
              <w:top w:type="dxa" w:w="120"/>
              <w:left w:type="dxa" w:w="120"/>
              <w:bottom w:type="dxa" w:w="120"/>
              <w:right w:type="dxa" w:w="120"/>
            </w:tcMar>
            <w:vAlign w:val="center"/>
          </w:tcPr>
          <w:p>
            <w:pPr>
              <w:spacing w:after="55"/>
            </w:pPr>
            <w:r>
              <w:rPr>
                <w:rFonts w:ascii="Book Antiqua" w:cs="Book Antiqua" w:eastAsia="Book Antiqua" w:hAnsi="Book Antiqua"/>
                <w:b/>
                <w:bCs/>
                <w:color w:val="3C2B25"/>
                <w:sz w:val="26"/>
                <w:szCs w:val="26"/>
              </w:rPr>
              <w:t xml:space="preserve">Legal Minimum-Wage Compliance</w:t>
            </w:r>
          </w:p>
          <w:p>
            <w:r>
              <w:rPr>
                <w:rFonts w:ascii="Book Antiqua" w:cs="Book Antiqua" w:eastAsia="Book Antiqua" w:hAnsi="Book Antiqua"/>
                <w:sz w:val="22"/>
                <w:szCs w:val="22"/>
              </w:rPr>
              <w:t xml:space="preserve">Achieve the approved legal minimum-wage compliance target</w:t>
            </w:r>
          </w:p>
        </w:tc>
        <w:tc>
          <w:tcPr>
            <w:tcW w:type="dxa" w:w="1900"/>
            <w:shd w:fill="F3EAE4" w:color="F3EAE4" w:val="solid"/>
            <w:tcMar>
              <w:top w:type="dxa" w:w="120"/>
              <w:left w:type="dxa" w:w="120"/>
              <w:bottom w:type="dxa" w:w="120"/>
              <w:right w:type="dxa" w:w="120"/>
            </w:tcMar>
            <w:vAlign w:val="center"/>
          </w:tcPr>
          <w:p>
            <w:r>
              <w:rPr>
                <w:rFonts w:ascii="Book Antiqua" w:cs="Book Antiqua" w:eastAsia="Book Antiqua" w:hAnsi="Book Antiqua"/>
                <w:b/>
                <w:bCs/>
                <w:color w:val="2B221E"/>
                <w:sz w:val="14"/>
                <w:szCs w:val="14"/>
              </w:rPr>
              <w:t xml:space="preserve">FY 2028-29</w:t>
            </w:r>
          </w:p>
          <w:p>
            <w:pPr>
              <w:spacing w:before="45"/>
            </w:pPr>
            <w:r>
              <w:rPr>
                <w:rFonts w:ascii="Book Antiqua" w:cs="Book Antiqua" w:eastAsia="Book Antiqua" w:hAnsi="Book Antiqua"/>
                <w:color w:val="796B63"/>
                <w:sz w:val="14"/>
                <w:szCs w:val="14"/>
              </w:rPr>
              <w:t xml:space="preserve">FY 2024-25</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50"/>
        <w:gridCol w:w="6762"/>
        <w:gridCol w:w="1900"/>
      </w:tblGrid>
      <w:tr>
        <w:trPr>
          <w:cantSplit/>
        </w:trPr>
        <w:tc>
          <w:tcPr>
            <w:tcW w:type="dxa" w:w="750"/>
            <w:shd w:fill="F3EAE4" w:color="F3EAE4" w:val="solid"/>
            <w:tcMar>
              <w:top w:type="dxa" w:w="120"/>
              <w:left w:type="dxa" w:w="120"/>
              <w:bottom w:type="dxa" w:w="120"/>
              <w:right w:type="dxa" w:w="120"/>
            </w:tcMar>
            <w:vAlign w:val="center"/>
          </w:tcPr>
          <w:p>
            <w:pPr>
              <w:jc w:val="center"/>
            </w:pPr>
            <w:r>
              <w:rPr>
                <w:rFonts w:ascii="Book Antiqua" w:cs="Book Antiqua" w:eastAsia="Book Antiqua" w:hAnsi="Book Antiqua"/>
                <w:color w:val="5E443A"/>
                <w:sz w:val="30"/>
                <w:szCs w:val="30"/>
              </w:rPr>
              <w:t xml:space="preserve">03</w:t>
            </w:r>
          </w:p>
        </w:tc>
        <w:tc>
          <w:tcPr>
            <w:tcW w:type="dxa" w:w="6762"/>
            <w:tcBorders>
              <w:left w:val="single" w:color="E2D5CE" w:sz="5" w:space="1"/>
              <w:right w:val="single" w:color="E2D5CE" w:sz="5" w:space="1"/>
            </w:tcBorders>
            <w:shd w:fill="F3EAE4" w:color="F3EAE4" w:val="solid"/>
            <w:tcMar>
              <w:top w:type="dxa" w:w="120"/>
              <w:left w:type="dxa" w:w="120"/>
              <w:bottom w:type="dxa" w:w="120"/>
              <w:right w:type="dxa" w:w="120"/>
            </w:tcMar>
            <w:vAlign w:val="center"/>
          </w:tcPr>
          <w:p>
            <w:pPr>
              <w:spacing w:after="55"/>
            </w:pPr>
            <w:r>
              <w:rPr>
                <w:rFonts w:ascii="Book Antiqua" w:cs="Book Antiqua" w:eastAsia="Book Antiqua" w:hAnsi="Book Antiqua"/>
                <w:b/>
                <w:bCs/>
                <w:color w:val="3C2B25"/>
                <w:sz w:val="26"/>
                <w:szCs w:val="26"/>
              </w:rPr>
              <w:t xml:space="preserve">Benefits, Allowances &amp; Total Remuneration</w:t>
            </w:r>
          </w:p>
          <w:p>
            <w:r>
              <w:rPr>
                <w:rFonts w:ascii="Book Antiqua" w:cs="Book Antiqua" w:eastAsia="Book Antiqua" w:hAnsi="Book Antiqua"/>
                <w:sz w:val="22"/>
                <w:szCs w:val="22"/>
              </w:rPr>
              <w:t xml:space="preserve">Achieve the approved benefits, allowances &amp; total remuneration target</w:t>
            </w:r>
          </w:p>
        </w:tc>
        <w:tc>
          <w:tcPr>
            <w:tcW w:type="dxa" w:w="1900"/>
            <w:shd w:fill="F3EAE4" w:color="F3EAE4" w:val="solid"/>
            <w:tcMar>
              <w:top w:type="dxa" w:w="120"/>
              <w:left w:type="dxa" w:w="120"/>
              <w:bottom w:type="dxa" w:w="120"/>
              <w:right w:type="dxa" w:w="120"/>
            </w:tcMar>
            <w:vAlign w:val="center"/>
          </w:tcPr>
          <w:p>
            <w:r>
              <w:rPr>
                <w:rFonts w:ascii="Book Antiqua" w:cs="Book Antiqua" w:eastAsia="Book Antiqua" w:hAnsi="Book Antiqua"/>
                <w:b/>
                <w:bCs/>
                <w:color w:val="2B221E"/>
                <w:sz w:val="14"/>
                <w:szCs w:val="14"/>
              </w:rPr>
              <w:t xml:space="preserve">FY 2028-29</w:t>
            </w:r>
          </w:p>
          <w:p>
            <w:pPr>
              <w:spacing w:before="45"/>
            </w:pPr>
            <w:r>
              <w:rPr>
                <w:rFonts w:ascii="Book Antiqua" w:cs="Book Antiqua" w:eastAsia="Book Antiqua" w:hAnsi="Book Antiqua"/>
                <w:color w:val="796B63"/>
                <w:sz w:val="14"/>
                <w:szCs w:val="14"/>
              </w:rPr>
              <w:t xml:space="preserve">FY 2024-25</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sdg" w:id="1"/>
      <w:bookmarkEnd w:id="1"/>
      <w:r>
        <w:rPr>
          <w:rFonts w:ascii="Book Antiqua" w:cs="Book Antiqua" w:eastAsia="Book Antiqua" w:hAnsi="Book Antiqua"/>
          <w:color w:val="796B63"/>
          <w:sz w:val="20"/>
          <w:szCs w:val="20"/>
        </w:rPr>
        <w:t xml:space="preserve">07   </w:t>
      </w:r>
      <w:r>
        <w:rPr>
          <w:rFonts w:ascii="Book Antiqua" w:cs="Book Antiqua" w:eastAsia="Book Antiqua" w:hAnsi="Book Antiqua"/>
          <w:b/>
          <w:bCs/>
          <w:color w:val="3C2B25"/>
          <w:sz w:val="34"/>
          <w:szCs w:val="34"/>
        </w:rPr>
        <w:t xml:space="preserve">SDG Alignment</w:t>
      </w:r>
    </w:p>
    <w:p>
      <w:pPr>
        <w:spacing w:after="130"/>
      </w:pPr>
      <w:r>
        <w:rPr>
          <w:rFonts w:ascii="Book Antiqua" w:cs="Book Antiqua" w:eastAsia="Book Antiqua" w:hAnsi="Book Antiqua"/>
        </w:rPr>
        <w:t xml:space="preserve">This policy aligns with the following United Nations Sustainable Development Goals:</w:t>
      </w:r>
    </w:p>
    <w:tbl>
      <w:tblPr>
        <w:tblW w:type="dxa" w:w="9411"/>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3137"/>
        <w:gridCol w:w="3137"/>
        <w:gridCol w:w="3137"/>
      </w:tblGrid>
      <w:tr>
        <w:trPr>
          <w:cantSplit/>
        </w:trPr>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No Poverty</w:t>
            </w:r>
          </w:p>
        </w:tc>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Good Health</w:t>
            </w:r>
          </w:p>
        </w:tc>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Gender Equality</w:t>
            </w:r>
          </w:p>
        </w:tc>
      </w:tr>
      <w:tr>
        <w:trPr>
          <w:cantSplit/>
        </w:trPr>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Decent Work</w:t>
            </w:r>
          </w:p>
        </w:tc>
        <w:tc>
          <w:tcPr>
            <w:tcW w:type="dxa" w:w="3137"/>
            <w:shd w:fill="F3EAE4" w:color="F3EAE4" w:val="solid"/>
            <w:tcMar>
              <w:top w:type="dxa" w:w="100"/>
              <w:left w:type="dxa" w:w="80"/>
              <w:bottom w:type="dxa" w:w="100"/>
              <w:right w:type="dxa" w:w="80"/>
            </w:tcMar>
            <w:vAlign w:val="center"/>
          </w:tcPr>
          <w:p>
            <w:pPr>
              <w:jc w:val="center"/>
            </w:pPr>
            <w:r>
              <w:drawing>
                <wp:inline distT="0" distB="0" distL="0" distR="0">
                  <wp:extent cx="8763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876300"/>
                          </a:xfrm>
                          <a:prstGeom prst="rect">
                            <a:avLst/>
                          </a:prstGeom>
                        </pic:spPr>
                      </pic:pic>
                    </a:graphicData>
                  </a:graphic>
                </wp:inline>
              </w:drawing>
            </w:r>
          </w:p>
          <w:p>
            <w:pPr>
              <w:spacing w:before="60"/>
              <w:jc w:val="center"/>
            </w:pPr>
            <w:r>
              <w:rPr>
                <w:rFonts w:ascii="Book Antiqua" w:cs="Book Antiqua" w:eastAsia="Book Antiqua" w:hAnsi="Book Antiqua"/>
                <w:b/>
                <w:bCs/>
                <w:color w:val="2B221E"/>
                <w:sz w:val="14"/>
                <w:szCs w:val="14"/>
              </w:rPr>
              <w:t xml:space="preserve">Reduced Inequalities</w:t>
            </w:r>
          </w:p>
        </w:tc>
        <w:tc>
          <w:tcPr>
            <w:tcW w:type="dxa" w:w="3137"/>
            <w:tcMar>
              <w:top w:type="dxa" w:w="120"/>
              <w:left w:type="dxa" w:w="120"/>
              <w:bottom w:type="dxa" w:w="120"/>
              <w:right w:type="dxa" w:w="120"/>
            </w:tcMar>
            <w:vAlign w:val="center"/>
          </w:tcPr>
          <w:p>
            <w:r>
              <w:t xml:space="preserve"/>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responsibilities" w:id="1"/>
      <w:bookmarkEnd w:id="1"/>
      <w:r>
        <w:rPr>
          <w:rFonts w:ascii="Book Antiqua" w:cs="Book Antiqua" w:eastAsia="Book Antiqua" w:hAnsi="Book Antiqua"/>
          <w:color w:val="796B63"/>
          <w:sz w:val="20"/>
          <w:szCs w:val="20"/>
        </w:rPr>
        <w:t xml:space="preserve">08   </w:t>
      </w:r>
      <w:r>
        <w:rPr>
          <w:rFonts w:ascii="Book Antiqua" w:cs="Book Antiqua" w:eastAsia="Book Antiqua" w:hAnsi="Book Antiqua"/>
          <w:b/>
          <w:bCs/>
          <w:color w:val="3C2B25"/>
          <w:sz w:val="34"/>
          <w:szCs w:val="34"/>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01</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Board &amp; Senior Management</w:t>
            </w:r>
          </w:p>
          <w:p>
            <w:pPr>
              <w:spacing w:before="45"/>
            </w:pPr>
            <w:r>
              <w:rPr>
                <w:sz w:val="19"/>
                <w:szCs w:val="19"/>
              </w:rPr>
              <w:t xml:space="preserve">Approve the living-wage commitment and review progress against wage and benefit objectives.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02</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Human Resources</w:t>
            </w:r>
          </w:p>
          <w:p>
            <w:pPr>
              <w:spacing w:before="45"/>
            </w:pPr>
            <w:r>
              <w:rPr>
                <w:sz w:val="19"/>
                <w:szCs w:val="19"/>
              </w:rPr>
              <w:t xml:space="preserve">Maintain wage benchmarks, implement equitable compensation, and administer wage-related grievance handling.</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03</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Finance &amp; Payroll</w:t>
            </w:r>
          </w:p>
          <w:p>
            <w:pPr>
              <w:spacing w:before="45"/>
            </w:pPr>
            <w:r>
              <w:rPr>
                <w:sz w:val="19"/>
                <w:szCs w:val="19"/>
              </w:rPr>
              <w:t xml:space="preserve">Ensure accurate, timely, traceable payment and maintain records for compensation and statutory benefits.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04</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Line Managers</w:t>
            </w:r>
          </w:p>
          <w:p>
            <w:pPr>
              <w:spacing w:before="45"/>
            </w:pPr>
            <w:r>
              <w:rPr>
                <w:sz w:val="19"/>
                <w:szCs w:val="19"/>
              </w:rPr>
              <w:t xml:space="preserve">Communicate compensation practices clearly and escalate concerns affecting employee welfare.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00"/>
        <w:gridCol w:w="8512"/>
      </w:tblGrid>
      <w:tr>
        <w:trPr>
          <w:cantSplit/>
        </w:trPr>
        <w:tc>
          <w:tcPr>
            <w:tcW w:type="dxa" w:w="900"/>
            <w:tcBorders>
              <w:top w:val="single" w:color="E2D5CE" w:sz="5" w:space="1"/>
            </w:tcBorders>
            <w:tcMar>
              <w:top w:type="dxa" w:w="120"/>
              <w:left w:type="dxa" w:w="120"/>
              <w:bottom w:type="dxa" w:w="120"/>
              <w:right w:type="dxa" w:w="120"/>
            </w:tcMar>
            <w:vAlign w:val="center"/>
          </w:tcPr>
          <w:p>
            <w:pPr>
              <w:jc w:val="center"/>
            </w:pPr>
            <w:r>
              <w:rPr>
                <w:rFonts w:ascii="Georgia" w:cs="Georgia" w:eastAsia="Georgia" w:hAnsi="Georgia"/>
                <w:b w:val="false"/>
                <w:bCs w:val="false"/>
                <w:color w:val="2F6B61"/>
                <w:sz w:val="28"/>
                <w:szCs w:val="28"/>
              </w:rPr>
              <w:t xml:space="preserve">05</w:t>
            </w:r>
          </w:p>
        </w:tc>
        <w:tc>
          <w:tcPr>
            <w:tcW w:type="dxa" w:w="8512"/>
            <w:tcBorders>
              <w:top w:val="single" w:color="E2D5CE" w:sz="5" w:space="1"/>
            </w:tcBorders>
            <w:tcMar>
              <w:top w:type="dxa" w:w="120"/>
              <w:left w:type="dxa" w:w="120"/>
              <w:bottom w:type="dxa" w:w="120"/>
              <w:right w:type="dxa" w:w="120"/>
            </w:tcMar>
            <w:vAlign w:val="center"/>
          </w:tcPr>
          <w:p>
            <w:r>
              <w:rPr>
                <w:b/>
                <w:bCs/>
                <w:color w:val="2B221E"/>
                <w:sz w:val="20"/>
                <w:szCs w:val="20"/>
              </w:rPr>
              <w:t xml:space="preserve">Employees &amp; Workers</w:t>
            </w:r>
          </w:p>
          <w:p>
            <w:pPr>
              <w:spacing w:before="45"/>
            </w:pPr>
            <w:r>
              <w:rPr>
                <w:sz w:val="19"/>
                <w:szCs w:val="19"/>
              </w:rPr>
              <w:t xml:space="preserve">Use available channels to raise wage or benefit concerns without fear of retaliation.</w:t>
            </w:r>
          </w:p>
        </w:tc>
      </w:tr>
    </w:tbl>
    <w:p>
      <w:pPr>
        <w:spacing w:before="165"/>
      </w:pPr>
      <w:r>
        <w:rPr>
          <w:sz w:val="2"/>
          <w:szCs w:val="2"/>
        </w:rPr>
        <w:t xml:space="preserve"> </w:t>
      </w:r>
    </w:p>
    <w:p>
      <w:pPr>
        <w:pStyle w:val="PolicyHeading"/>
        <w:pBdr>
          <w:bottom w:val="single" w:color="5E443A" w:sz="4" w:space="1"/>
        </w:pBdr>
        <w:spacing w:after="180" w:before="260"/>
        <w:jc w:val="left"/>
      </w:pPr>
      <w:bookmarkStart w:name="standard-monitoring" w:id="1"/>
      <w:bookmarkEnd w:id="1"/>
      <w:r>
        <w:rPr>
          <w:rFonts w:ascii="Book Antiqua" w:cs="Book Antiqua" w:eastAsia="Book Antiqua" w:hAnsi="Book Antiqua"/>
          <w:color w:val="796B63"/>
          <w:sz w:val="20"/>
          <w:szCs w:val="20"/>
        </w:rPr>
        <w:t xml:space="preserve">09   </w:t>
      </w:r>
      <w:r>
        <w:rPr>
          <w:rFonts w:ascii="Book Antiqua" w:cs="Book Antiqua" w:eastAsia="Book Antiqua" w:hAnsi="Book Antiqua"/>
          <w:b/>
          <w:bCs/>
          <w:color w:val="3C2B25"/>
          <w:sz w:val="34"/>
          <w:szCs w:val="34"/>
        </w:rPr>
        <w:t xml:space="preserve">Monitoring, Reporting &amp; Transparency</w:t>
      </w:r>
    </w:p>
    <w:p>
      <w:pPr>
        <w:pStyle w:val="PolicyBody"/>
        <w:spacing w:after="150" w:line="360"/>
        <w:jc w:val="both"/>
      </w:pPr>
      <w:r>
        <w:rPr>
          <w:rFonts w:ascii="Book Antiqua" w:cs="Book Antiqua" w:eastAsia="Book Antiqua" w:hAnsi="Book Antiqua"/>
          <w:b/>
          <w:bCs/>
          <w:color w:val="9B4E2D"/>
          <w:sz w:val="46"/>
          <w:szCs w:val="46"/>
        </w:rPr>
        <w:t xml:space="preserve">E</w:t>
      </w:r>
      <w:r>
        <w:rPr>
          <w:rFonts w:ascii="Book Antiqua" w:cs="Book Antiqua" w:eastAsia="Book Antiqua" w:hAnsi="Book Antiqua"/>
          <w:sz w:val="22"/>
          <w:szCs w:val="22"/>
        </w:rPr>
        <w:t xml:space="preserv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65"/>
      </w:pPr>
      <w:r>
        <w:rPr>
          <w:sz w:val="2"/>
          <w:szCs w:val="2"/>
        </w:rPr>
        <w:t xml:space="preserve"> </w:t>
      </w:r>
    </w:p>
    <w:p>
      <w:pPr>
        <w:pStyle w:val="PolicyHeading"/>
        <w:pBdr>
          <w:bottom w:val="single" w:color="5E443A" w:sz="4" w:space="1"/>
        </w:pBdr>
        <w:spacing w:after="180" w:before="260"/>
        <w:jc w:val="left"/>
      </w:pPr>
      <w:bookmarkStart w:name="standard-review" w:id="1"/>
      <w:bookmarkEnd w:id="1"/>
      <w:r>
        <w:rPr>
          <w:rFonts w:ascii="Book Antiqua" w:cs="Book Antiqua" w:eastAsia="Book Antiqua" w:hAnsi="Book Antiqua"/>
          <w:color w:val="796B63"/>
          <w:sz w:val="20"/>
          <w:szCs w:val="20"/>
        </w:rPr>
        <w:t xml:space="preserve">10   </w:t>
      </w:r>
      <w:r>
        <w:rPr>
          <w:rFonts w:ascii="Book Antiqua" w:cs="Book Antiqua" w:eastAsia="Book Antiqua" w:hAnsi="Book Antiqua"/>
          <w:b/>
          <w:bCs/>
          <w:color w:val="3C2B25"/>
          <w:sz w:val="34"/>
          <w:szCs w:val="34"/>
        </w:rPr>
        <w:t xml:space="preserve">Review Mechanism &amp; Continuous Improvement</w:t>
      </w:r>
    </w:p>
    <w:p>
      <w:pPr>
        <w:pStyle w:val="PolicyBody"/>
        <w:spacing w:after="150" w:line="360"/>
        <w:jc w:val="both"/>
      </w:pPr>
      <w:r>
        <w:rPr>
          <w:rFonts w:ascii="Book Antiqua" w:cs="Book Antiqua" w:eastAsia="Book Antiqua" w:hAnsi="Book Antiqua"/>
          <w:b/>
          <w:bCs/>
          <w:color w:val="9B4E2D"/>
          <w:sz w:val="46"/>
          <w:szCs w:val="46"/>
        </w:rPr>
        <w:t xml:space="preserve">T</w:t>
      </w:r>
      <w:r>
        <w:rPr>
          <w:rFonts w:ascii="Book Antiqua" w:cs="Book Antiqua" w:eastAsia="Book Antiqua" w:hAnsi="Book Antiqua"/>
          <w:sz w:val="22"/>
          <w:szCs w:val="22"/>
        </w:rPr>
        <w:t xml:space="preserve">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65"/>
      </w:pPr>
      <w:r>
        <w:rPr>
          <w:sz w:val="2"/>
          <w:szCs w:val="2"/>
        </w:rPr>
        <w:t xml:space="preserve"> </w:t>
      </w:r>
    </w:p>
    <w:p>
      <w:pPr>
        <w:spacing w:before="100"/>
      </w:pPr>
      <w:r>
        <w:rPr>
          <w:sz w:val="2"/>
          <w:szCs w:val="2"/>
        </w:rPr>
        <w:t xml:space="preserve"> </w:t>
      </w:r>
    </w:p>
    <w:p>
      <w:pPr>
        <w:spacing w:after="120" w:before="160"/>
      </w:pPr>
      <w:r>
        <w:rPr>
          <w:rFonts w:ascii="Book Antiqua" w:cs="Book Antiqua" w:eastAsia="Book Antiqua" w:hAnsi="Book Antiqua"/>
          <w:b/>
          <w:bCs/>
          <w:color w:val="3C2B25"/>
        </w:rPr>
        <w:t xml:space="preserve">Approved by: </w:t>
      </w:r>
      <w:r>
        <w:rPr>
          <w:rFonts w:ascii="Book Antiqua" w:cs="Book Antiqua" w:eastAsia="Book Antiqua" w:hAnsi="Book Antiqua"/>
        </w:rPr>
        <w:t xml:space="preserve">Managing Director</w:t>
      </w:r>
    </w:p>
    <w:p>
      <w:r>
        <w:br w:type="page"/>
      </w:r>
    </w:p>
    <w:p>
      <w:pPr>
        <w:spacing w:after="180"/>
        <w:jc w:val="left"/>
      </w:pPr>
      <w:bookmarkStart w:name="acknowledgement" w:id="1"/>
      <w:bookmarkEnd w:id="1"/>
      <w:r>
        <w:rPr>
          <w:rFonts w:ascii="Book Antiqua" w:cs="Book Antiqua" w:eastAsia="Book Antiqua" w:hAnsi="Book Antiqua"/>
          <w:b/>
          <w:bCs/>
          <w:i w:val="false"/>
          <w:iCs w:val="false"/>
          <w:color w:val="3C2B25"/>
          <w:sz w:val="36"/>
          <w:szCs w:val="36"/>
        </w:rPr>
        <w:t xml:space="preserve">Employee Acknowledgement Form</w:t>
      </w:r>
    </w:p>
    <w:p>
      <w:pPr>
        <w:spacing w:after="260" w:line="360"/>
        <w:jc w:val="both"/>
      </w:pPr>
      <w:r>
        <w:rPr>
          <w:rFonts w:ascii="Book Antiqua" w:cs="Book Antiqua" w:eastAsia="Book Antiqua" w:hAnsi="Book Antiqua"/>
          <w:sz w:val="22"/>
          <w:szCs w:val="22"/>
        </w:rPr>
        <w:t xml:space="preserve">I acknowledge that I have read and understood the Living Wage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EMPLOYEE NAME</w:t>
            </w:r>
          </w:p>
          <w:p>
            <w:pPr>
              <w:pBdr>
                <w:bottom w:val="single" w:color="796B63" w:sz="6" w:space="1"/>
              </w:pBdr>
              <w:spacing w:after="170"/>
            </w:pPr>
            <w:r>
              <w:t xml:space="preserve"> </w:t>
            </w:r>
          </w:p>
        </w:tc>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EMPLOYEE ID</w:t>
            </w:r>
          </w:p>
          <w:p>
            <w:pPr>
              <w:pBdr>
                <w:bottom w:val="single" w:color="796B63" w:sz="6" w:space="1"/>
              </w:pBdr>
              <w:spacing w:after="170"/>
            </w:pPr>
            <w:r>
              <w:t xml:space="preserve"> </w:t>
            </w:r>
          </w:p>
        </w:tc>
      </w:tr>
      <w:tr>
        <w:trPr>
          <w:cantSplit/>
        </w:trPr>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DEPARTMENT</w:t>
            </w:r>
          </w:p>
          <w:p>
            <w:pPr>
              <w:pBdr>
                <w:bottom w:val="single" w:color="796B63" w:sz="6" w:space="1"/>
              </w:pBdr>
              <w:spacing w:after="170"/>
            </w:pPr>
            <w:r>
              <w:t xml:space="preserve"> </w:t>
            </w:r>
          </w:p>
        </w:tc>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DATE</w:t>
            </w:r>
          </w:p>
          <w:p>
            <w:pPr>
              <w:pBdr>
                <w:bottom w:val="single" w:color="796B63" w:sz="6" w:space="1"/>
              </w:pBdr>
              <w:spacing w:after="170"/>
            </w:pPr>
            <w:r>
              <w:t xml:space="preserve"> </w:t>
            </w:r>
          </w:p>
        </w:tc>
      </w:tr>
      <w:tr>
        <w:trPr>
          <w:cantSplit/>
        </w:trPr>
        <w:tc>
          <w:tcPr>
            <w:tcW w:type="dxa" w:w="4706"/>
            <w:shd w:fill="F3EAE4" w:color="F3EAE4" w:val="solid"/>
            <w:tcMar>
              <w:top w:type="dxa" w:w="120"/>
              <w:left w:type="dxa" w:w="140"/>
              <w:bottom w:type="dxa" w:w="120"/>
              <w:right w:type="dxa" w:w="140"/>
            </w:tcMar>
            <w:vAlign w:val="center"/>
          </w:tcPr>
          <w:p>
            <w:pPr>
              <w:spacing w:after="100"/>
            </w:pPr>
            <w:r>
              <w:rPr>
                <w:rFonts w:ascii="Book Antiqua" w:cs="Book Antiqua" w:eastAsia="Book Antiqua" w:hAnsi="Book Antiqua"/>
                <w:b/>
                <w:bCs/>
                <w:color w:val="796B63"/>
                <w:spacing w:val="35"/>
                <w:sz w:val="14"/>
                <w:szCs w:val="14"/>
              </w:rPr>
              <w:t xml:space="preserve">SIGNATURE</w:t>
            </w:r>
          </w:p>
          <w:p>
            <w:pPr>
              <w:pBdr>
                <w:bottom w:val="single" w:color="796B63"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5CE" w:sz="5" w:space="1"/>
      </w:pBdr>
      <w:spacing w:before="80"/>
      <w:jc w:val="left"/>
    </w:pPr>
    <w:r>
      <w:rPr>
        <w:rFonts w:ascii="Book Antiqua" w:cs="Book Antiqua" w:eastAsia="Book Antiqua" w:hAnsi="Book Antiqua"/>
        <w:i w:val="false"/>
        <w:iCs w:val="false"/>
        <w:color w:val="796B63"/>
        <w:sz w:val="14"/>
        <w:szCs w:val="14"/>
      </w:rPr>
      <w:t xml:space="preserve">Effective 2025-01-15   -   Revision 01   -   Page </w:t>
    </w:r>
    <w:r>
      <w:rPr>
        <w:rFonts w:ascii="Book Antiqua" w:cs="Book Antiqua" w:eastAsia="Book Antiqua" w:hAnsi="Book Antiqua"/>
        <w:color w:val="796B63"/>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E2D5CE" w:sz="5" w:space="1"/>
      </w:pBdr>
      <w:spacing w:after="60"/>
      <w:jc w:val="center"/>
    </w:pPr>
    <w:r>
      <w:rPr>
        <w:rFonts w:ascii="Book Antiqua" w:cs="Book Antiqua" w:eastAsia="Book Antiqua" w:hAnsi="Book Antiqua"/>
        <w:b/>
        <w:bCs/>
        <w:color w:val="796B63"/>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60"/>
        <w:ind w:left="420" w:hanging="220"/>
      </w:pPr>
      <w:rPr>
        <w:rFonts w:ascii="Book Antiqua" w:cs="Book Antiqua" w:eastAsia="Book Antiqua" w:hAnsi="Book Antiqua"/>
        <w:color w:val="5E443A"/>
      </w:rPr>
    </w:lvl>
  </w:abstractNum>
  <w:abstractNum w:abstractNumId="3" w15:restartNumberingAfterBreak="0">
    <w:multiLevelType w:val="hybridMultilevel"/>
    <w:lvl w:ilvl="0" w15:tentative="1">
      <w:start w:val="1"/>
      <w:numFmt w:val="decimal"/>
      <w:lvlText w:val="%1."/>
      <w:lvlJc w:val="left"/>
      <w:pPr>
        <w:spacing w:after="90" w:line="360"/>
        <w:ind w:left="420" w:hanging="220"/>
      </w:pPr>
      <w:rPr>
        <w:rFonts w:ascii="Book Antiqua" w:cs="Book Antiqua" w:eastAsia="Book Antiqua" w:hAnsi="Book Antiqua"/>
        <w:b/>
        <w:bCs/>
        <w:color w:val="5E44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 Antiqua" w:cs="Book Antiqua" w:eastAsia="Book Antiqua" w:hAnsi="Book Antiqua"/>
        <w:color w:val="2B22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212" w:before="354"/>
    </w:pPr>
    <w:rPr>
      <w:rFonts w:ascii="Book Antiqua" w:cs="Book Antiqua" w:eastAsia="Book Antiqua" w:hAnsi="Book Antiqua"/>
      <w:b/>
      <w:bCs/>
      <w:color w:val="3C2B25"/>
      <w:sz w:val="34"/>
      <w:szCs w:val="34"/>
    </w:rPr>
  </w:style>
  <w:style w:type="paragraph" w:styleId="PolicyBody">
    <w:name w:val="Policy Body"/>
    <w:basedOn w:val="Normal"/>
    <w:next w:val="PolicyBody"/>
    <w:qFormat/>
    <w:pPr>
      <w:spacing w:after="177" w:line="360"/>
    </w:pPr>
    <w:rPr>
      <w:rFonts w:ascii="Book Antiqua" w:cs="Book Antiqua" w:eastAsia="Book Antiqua" w:hAnsi="Book Antiqua"/>
      <w:color w:val="2B22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f757c1256280031b6631667efe8263bd57e7bd3.jpg"/><Relationship Id="rId12" Type="http://schemas.openxmlformats.org/officeDocument/2006/relationships/image" Target="media/415ab06f12ba76a70969ac10d40066e07d40e47e.jpg"/><Relationship Id="rId13" Type="http://schemas.openxmlformats.org/officeDocument/2006/relationships/image" Target="media/1234bbd7122344b9645e7c28f78749c312a78f80.jpg"/><Relationship Id="rId14" Type="http://schemas.openxmlformats.org/officeDocument/2006/relationships/image" Target="media/edf2f3178b56855a221bd0f9ffd3edfdfabf23f9.jpg"/><Relationship Id="rId15" Type="http://schemas.openxmlformats.org/officeDocument/2006/relationships/image" Target="media/62e80bf10812089b5b8366d350ae6d64ec900544.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2e9e3abeb19b3fde6a8ff79c324663594000338.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92e9e3abeb19b3fde6a8ff79c324663594000338.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 Wage Policy - Acme Specialty Chemicals Pvt. Ltd.</dc:title>
  <dc:creator>PolicyCraft</dc:creator>
  <cp:lastModifiedBy>Un-named</cp:lastModifiedBy>
  <cp:revision>1</cp:revision>
  <dcterms:created xsi:type="dcterms:W3CDTF">2026-09-08T05:40:09.315Z</dcterms:created>
  <dcterms:modified xsi:type="dcterms:W3CDTF">2026-09-08T05:40:09.315Z</dcterms:modified>
</cp:coreProperties>
</file>

<file path=docProps/custom.xml><?xml version="1.0" encoding="utf-8"?>
<Properties xmlns="http://schemas.openxmlformats.org/officeDocument/2006/custom-properties" xmlns:vt="http://schemas.openxmlformats.org/officeDocument/2006/docPropsVTypes"/>
</file>