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Living Wage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qualitative">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Qualitative Objectives</w:t>
        </w:r>
      </w:hyperlink>
    </w:p>
    <w:p>
      <w:pPr>
        <w:pBdr>
          <w:bottom w:val="dotted" w:color="D6E0E2" w:sz="3" w:space="1"/>
        </w:pBdr>
        <w:spacing w:after="95" w:before="60"/>
      </w:pPr>
      <w:hyperlink w:history="1" w:anchor="standard-quantitative">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Quantitative Targets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09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10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Living Wage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Living Wage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Living-Wage Benchmark &amp; Methodology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Legal Minimum-Wage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Benefits, Allowances &amp; Total Remuneration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Pay Equity &amp; Transparency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Timely, Traceable Payment</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qualitative"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Qualitative Objectives</w:t>
      </w:r>
    </w:p>
    <w:p>
      <w:pPr>
        <w:spacing w:after="90"/>
      </w:pPr>
      <w:r>
        <w:rPr>
          <w:rFonts w:ascii="Public Sans" w:cs="Public Sans" w:eastAsia="Public Sans" w:hAnsi="Public Sans"/>
          <w:b/>
          <w:bCs/>
          <w:color w:val="173F4B"/>
          <w:sz w:val="18"/>
          <w:szCs w:val="18"/>
        </w:rPr>
        <w:t xml:space="preserve">01  </w:t>
      </w:r>
      <w:r>
        <w:rPr>
          <w:rFonts w:ascii="Public Sans" w:cs="Public Sans" w:eastAsia="Public Sans" w:hAnsi="Public Sans"/>
          <w:b/>
          <w:bCs/>
          <w:color w:val="102B33"/>
          <w:sz w:val="26"/>
          <w:szCs w:val="26"/>
        </w:rPr>
        <w:t xml:space="preserve">Living-Wage Benchmark &amp; Methodology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living-wage benchmark &amp; methodology.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living-wage benchmark &amp; methodology.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living-wage benchmark &amp; methodology.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02  </w:t>
      </w:r>
      <w:r>
        <w:rPr>
          <w:rFonts w:ascii="Public Sans" w:cs="Public Sans" w:eastAsia="Public Sans" w:hAnsi="Public Sans"/>
          <w:b/>
          <w:bCs/>
          <w:color w:val="102B33"/>
          <w:sz w:val="26"/>
          <w:szCs w:val="26"/>
        </w:rPr>
        <w:t xml:space="preserve">Legal Minimum-Wage Compliance</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legal minimum-wage compliance.</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legal minimum-wage compliance.</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legal minimum-wage compliance.</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03  </w:t>
      </w:r>
      <w:r>
        <w:rPr>
          <w:rFonts w:ascii="Public Sans" w:cs="Public Sans" w:eastAsia="Public Sans" w:hAnsi="Public Sans"/>
          <w:b/>
          <w:bCs/>
          <w:color w:val="102B33"/>
          <w:sz w:val="26"/>
          <w:szCs w:val="26"/>
        </w:rPr>
        <w:t xml:space="preserve">Benefits, Allowances &amp; Total Remuneration</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benefits, allowances &amp; total remuneration.</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benefits, allowances &amp; total remuneration.</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04  </w:t>
      </w:r>
      <w:r>
        <w:rPr>
          <w:rFonts w:ascii="Public Sans" w:cs="Public Sans" w:eastAsia="Public Sans" w:hAnsi="Public Sans"/>
          <w:b/>
          <w:bCs/>
          <w:color w:val="102B33"/>
          <w:sz w:val="26"/>
          <w:szCs w:val="26"/>
        </w:rPr>
        <w:t xml:space="preserve">Pay Equity &amp; Transparency</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pay equity &amp; transparency.</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pay equity &amp; transparency.</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pay equity &amp; transparency.</w:t>
      </w:r>
    </w:p>
    <w:p>
      <w:pPr>
        <w:spacing w:before="70"/>
      </w:pPr>
      <w:r>
        <w:rPr>
          <w:sz w:val="2"/>
          <w:szCs w:val="2"/>
        </w:rPr>
        <w:t xml:space="preserve"> </w:t>
      </w:r>
    </w:p>
    <w:p>
      <w:pPr>
        <w:spacing w:after="90"/>
      </w:pPr>
      <w:r>
        <w:rPr>
          <w:rFonts w:ascii="Public Sans" w:cs="Public Sans" w:eastAsia="Public Sans" w:hAnsi="Public Sans"/>
          <w:b/>
          <w:bCs/>
          <w:color w:val="173F4B"/>
          <w:sz w:val="18"/>
          <w:szCs w:val="18"/>
        </w:rPr>
        <w:t xml:space="preserve">05  </w:t>
      </w:r>
      <w:r>
        <w:rPr>
          <w:rFonts w:ascii="Public Sans" w:cs="Public Sans" w:eastAsia="Public Sans" w:hAnsi="Public Sans"/>
          <w:b/>
          <w:bCs/>
          <w:color w:val="102B33"/>
          <w:sz w:val="26"/>
          <w:szCs w:val="26"/>
        </w:rPr>
        <w:t xml:space="preserve">Timely, Traceable Payment</w:t>
      </w:r>
    </w:p>
    <w:p>
      <w:pPr>
        <w:pStyle w:val="PolicyBody"/>
        <w:numPr>
          <w:ilvl w:val="0"/>
          <w:numId w:val="2"/>
        </w:numPr>
        <w:spacing w:after="90" w:line="348"/>
      </w:pPr>
      <w:r>
        <w:rPr>
          <w:rFonts w:ascii="Public Sans" w:cs="Public Sans" w:eastAsia="Public Sans" w:hAnsi="Public Sans"/>
          <w:color w:val="192529"/>
          <w:sz w:val="22"/>
          <w:szCs w:val="22"/>
        </w:rPr>
        <w:t xml:space="preserve">Assign accountable ownership and approved procedures for timely, traceable payment.</w:t>
      </w:r>
    </w:p>
    <w:p>
      <w:pPr>
        <w:pStyle w:val="PolicyBody"/>
        <w:numPr>
          <w:ilvl w:val="0"/>
          <w:numId w:val="2"/>
        </w:numPr>
        <w:spacing w:after="90" w:line="348"/>
      </w:pPr>
      <w:r>
        <w:rPr>
          <w:rFonts w:ascii="Public Sans" w:cs="Public Sans" w:eastAsia="Public Sans" w:hAnsi="Public Sans"/>
          <w:color w:val="192529"/>
          <w:sz w:val="22"/>
          <w:szCs w:val="22"/>
        </w:rPr>
        <w:t xml:space="preserve">Identify material risks and improvement opportunities related to timely, traceable payment.</w:t>
      </w:r>
    </w:p>
    <w:p>
      <w:pPr>
        <w:pStyle w:val="PolicyBody"/>
        <w:numPr>
          <w:ilvl w:val="0"/>
          <w:numId w:val="2"/>
        </w:numPr>
        <w:spacing w:after="90" w:line="348"/>
      </w:pPr>
      <w:r>
        <w:rPr>
          <w:rFonts w:ascii="Public Sans" w:cs="Public Sans" w:eastAsia="Public Sans" w:hAnsi="Public Sans"/>
          <w:color w:val="192529"/>
          <w:sz w:val="22"/>
          <w:szCs w:val="22"/>
        </w:rPr>
        <w:t xml:space="preserve">Define measures, evidence sources and review frequency for timely, traceable payment.</w:t>
      </w:r>
    </w:p>
    <w:p>
      <w:pPr>
        <w:spacing w:before="70"/>
      </w:pPr>
      <w:r>
        <w:rPr>
          <w:sz w:val="2"/>
          <w:szCs w:val="2"/>
        </w:rPr>
        <w:t xml:space="preserve"> </w:t>
      </w:r>
    </w:p>
    <w:p>
      <w:pPr>
        <w:spacing w:before="140"/>
      </w:pPr>
      <w:r>
        <w:rPr>
          <w:sz w:val="2"/>
          <w:szCs w:val="2"/>
        </w:rPr>
        <w:t xml:space="preserve"> </w:t>
      </w:r>
    </w:p>
    <w:p>
      <w:pPr>
        <w:pStyle w:val="PolicyHeading"/>
        <w:pBdr>
          <w:bottom w:val="single" w:color="173F4B" w:sz="4" w:space="1"/>
        </w:pBdr>
        <w:spacing w:after="180" w:before="260"/>
        <w:jc w:val="left"/>
      </w:pPr>
      <w:bookmarkStart w:name="standard-quantitative"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Quantitative Targets</w:t>
      </w:r>
    </w:p>
    <w:p>
      <w:pPr>
        <w:spacing w:after="120"/>
      </w:pPr>
      <w:r>
        <w:rPr>
          <w:rFonts w:ascii="Public Sans" w:cs="Public Sans" w:eastAsia="Public Sans" w:hAnsi="Public Sans"/>
          <w:i/>
          <w:iCs/>
          <w:color w:val="66757A"/>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Living-Wage Benchmark &amp; Methodology</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living-wage benchmark &amp; methodology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Legal Minimum-Wage Compliance</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legal minimum-wage compliance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Benefits, Allowances &amp; Total Remuneration</w:t>
            </w:r>
          </w:p>
        </w:tc>
        <w:tc>
          <w:tcPr>
            <w:tcW w:type="dxa" w:w="3135"/>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Achieve the approved benefits, allowances &amp; total remuneration target</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E5243B" w:color="E5243B" w:val="solid"/>
            <w:tcMar>
              <w:top w:type="dxa" w:w="120"/>
              <w:left w:type="dxa" w:w="120"/>
              <w:bottom w:type="dxa" w:w="120"/>
              <w:right w:type="dxa" w:w="120"/>
            </w:tcMar>
            <w:vAlign w:val="center"/>
          </w:tcPr>
          <w:p>
            <w:pPr>
              <w:jc w:val="center"/>
            </w:pPr>
            <w:r>
              <w:rPr>
                <w:b/>
                <w:bCs/>
                <w:color w:val="FFFFFF"/>
                <w:sz w:val="17"/>
                <w:szCs w:val="17"/>
              </w:rPr>
              <w:t xml:space="preserve">SDG 1</w:t>
            </w:r>
          </w:p>
        </w:tc>
        <w:tc>
          <w:tcPr>
            <w:tcW w:type="dxa" w:w="8012"/>
            <w:tcMar>
              <w:top w:type="dxa" w:w="120"/>
              <w:left w:type="dxa" w:w="120"/>
              <w:bottom w:type="dxa" w:w="120"/>
              <w:right w:type="dxa" w:w="120"/>
            </w:tcMar>
            <w:vAlign w:val="center"/>
          </w:tcPr>
          <w:p>
            <w:r>
              <w:rPr>
                <w:rFonts w:ascii="Public Sans" w:cs="Public Sans" w:eastAsia="Public Sans" w:hAnsi="Public Sans"/>
                <w:b/>
                <w:bCs/>
                <w:color w:val="E5243B"/>
                <w:sz w:val="19"/>
                <w:szCs w:val="19"/>
              </w:rPr>
              <w:t xml:space="preserve">No Poverty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Public Sans" w:cs="Public Sans" w:eastAsia="Public Sans" w:hAnsi="Public Sans"/>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Public Sans" w:cs="Public Sans" w:eastAsia="Public Sans" w:hAnsi="Public Sans"/>
                <w:b/>
                <w:bCs/>
                <w:color w:val="DD1367"/>
                <w:sz w:val="19"/>
                <w:szCs w:val="19"/>
              </w:rPr>
              <w:t xml:space="preserve">Reduced Inequalities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Approve the living-wage commitment and review progress against wage and benefit objectives.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Maintain wage benchmarks, implement equitable compensation, and administer wage-related grievance handling.</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Finance &amp; Payroll</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Ensure accurate, timely, traceable payment and maintain records for compensation and statutory benefits.</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Line Managers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Communicate compensation practices clearly and escalate concerns affecting employee welfare.</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Employees &amp; Workers</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Use available channels to raise wage or benefit concerns without fear of retaliation.</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09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10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2026-09-08T05:39:27.858Z</dcterms:created>
  <dcterms:modified xsi:type="dcterms:W3CDTF">2026-09-08T05:39:27.858Z</dcterms:modified>
</cp:coreProperties>
</file>

<file path=docProps/custom.xml><?xml version="1.0" encoding="utf-8"?>
<Properties xmlns="http://schemas.openxmlformats.org/officeDocument/2006/custom-properties" xmlns:vt="http://schemas.openxmlformats.org/officeDocument/2006/docPropsVTypes"/>
</file>