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Public Sans" w:cs="Public Sans" w:eastAsia="Public Sans" w:hAnsi="Public Sans"/>
          <w:color w:val="66757A"/>
          <w:sz w:val="25"/>
          <w:szCs w:val="25"/>
        </w:rPr>
        <w:t xml:space="preserve">Acme Specialty Chemicals Pvt. Ltd.</w:t>
      </w:r>
    </w:p>
    <w:p>
      <w:pPr>
        <w:spacing w:before="2722"/>
      </w:pPr>
      <w:r>
        <w:rPr>
          <w:sz w:val="2"/>
          <w:szCs w:val="2"/>
        </w:rPr>
        <w:t xml:space="preserve"> </w:t>
      </w:r>
    </w:p>
    <w:p>
      <w:pPr>
        <w:spacing w:after="140"/>
        <w:jc w:val="left"/>
      </w:pPr>
      <w:r>
        <w:rPr>
          <w:rFonts w:ascii="Public Sans" w:cs="Public Sans" w:eastAsia="Public Sans" w:hAnsi="Public Sans"/>
          <w:b/>
          <w:bCs/>
          <w:color w:val="102B33"/>
          <w:sz w:val="68"/>
          <w:szCs w:val="68"/>
        </w:rPr>
        <w:t xml:space="preserve">Sustainable Procurement Policy</w:t>
      </w:r>
    </w:p>
    <w:p>
      <w:pPr>
        <w:spacing w:before="900"/>
      </w:pPr>
      <w:r>
        <w:rPr>
          <w:sz w:val="2"/>
          <w:szCs w:val="2"/>
        </w:rPr>
        <w:t xml:space="preserve"> </w:t>
      </w:r>
    </w:p>
    <w:p>
      <w:pPr>
        <w:pBdr>
          <w:top w:val="single" w:color="D6E0E2"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20"/>
              <w:bottom w:type="dxa" w:w="120"/>
              <w:right w:type="dxa" w:w="120"/>
            </w:tcMar>
            <w:vAlign w:val="center"/>
          </w:tcPr>
          <w:p>
            <w:pPr>
              <w:spacing w:after="80"/>
            </w:pPr>
            <w:r>
              <w:rPr>
                <w:rFonts w:ascii="Public Sans" w:cs="Public Sans" w:eastAsia="Public Sans" w:hAnsi="Public Sans"/>
                <w:color w:val="66757A"/>
                <w:sz w:val="15"/>
                <w:szCs w:val="15"/>
              </w:rPr>
              <w:t xml:space="preserve">DOCUMENT NO.</w:t>
            </w:r>
          </w:p>
          <w:p>
            <w:pPr>
              <w:spacing w:after="180"/>
            </w:pPr>
            <w:r>
              <w:rPr>
                <w:rFonts w:ascii="Public Sans" w:cs="Public Sans" w:eastAsia="Public Sans" w:hAnsi="Public Sans"/>
                <w:color w:val="66757A"/>
                <w:sz w:val="20"/>
                <w:szCs w:val="20"/>
              </w:rPr>
              <w:t xml:space="preserve">ASC-ENV-001</w:t>
            </w:r>
          </w:p>
        </w:tc>
        <w:tc>
          <w:tcPr>
            <w:tcW w:type="dxa" w:w="4706"/>
            <w:tcMar>
              <w:top w:type="dxa" w:w="120"/>
              <w:left w:type="dxa" w:w="120"/>
              <w:bottom w:type="dxa" w:w="120"/>
              <w:right w:type="dxa" w:w="120"/>
            </w:tcMar>
            <w:vAlign w:val="center"/>
          </w:tcPr>
          <w:p>
            <w:pPr>
              <w:spacing w:after="80"/>
            </w:pPr>
            <w:r>
              <w:rPr>
                <w:rFonts w:ascii="Public Sans" w:cs="Public Sans" w:eastAsia="Public Sans" w:hAnsi="Public Sans"/>
                <w:color w:val="66757A"/>
                <w:sz w:val="15"/>
                <w:szCs w:val="15"/>
              </w:rPr>
              <w:t xml:space="preserve">EFFECTIVE DATE</w:t>
            </w:r>
          </w:p>
          <w:p>
            <w:pPr>
              <w:spacing w:after="180"/>
            </w:pPr>
            <w:r>
              <w:rPr>
                <w:rFonts w:ascii="Public Sans" w:cs="Public Sans" w:eastAsia="Public Sans" w:hAnsi="Public Sans"/>
                <w:color w:val="66757A"/>
                <w:sz w:val="20"/>
                <w:szCs w:val="20"/>
              </w:rPr>
              <w:t xml:space="preserve">2025-01-15</w:t>
            </w:r>
          </w:p>
        </w:tc>
      </w:tr>
      <w:tr>
        <w:trPr>
          <w:cantSplit/>
        </w:trPr>
        <w:tc>
          <w:tcPr>
            <w:tcW w:type="dxa" w:w="4706"/>
            <w:tcMar>
              <w:top w:type="dxa" w:w="120"/>
              <w:left w:type="dxa" w:w="120"/>
              <w:bottom w:type="dxa" w:w="120"/>
              <w:right w:type="dxa" w:w="120"/>
            </w:tcMar>
            <w:vAlign w:val="center"/>
          </w:tcPr>
          <w:p>
            <w:pPr>
              <w:spacing w:after="80"/>
            </w:pPr>
            <w:r>
              <w:rPr>
                <w:rFonts w:ascii="Public Sans" w:cs="Public Sans" w:eastAsia="Public Sans" w:hAnsi="Public Sans"/>
                <w:color w:val="66757A"/>
                <w:sz w:val="15"/>
                <w:szCs w:val="15"/>
              </w:rPr>
              <w:t xml:space="preserve">REVISION</w:t>
            </w:r>
          </w:p>
          <w:p>
            <w:pPr>
              <w:spacing w:after="180"/>
            </w:pPr>
            <w:r>
              <w:rPr>
                <w:rFonts w:ascii="Public Sans" w:cs="Public Sans" w:eastAsia="Public Sans" w:hAnsi="Public Sans"/>
                <w:color w:val="66757A"/>
                <w:sz w:val="20"/>
                <w:szCs w:val="20"/>
              </w:rPr>
              <w:t xml:space="preserve">01</w:t>
            </w:r>
          </w:p>
        </w:tc>
        <w:tc>
          <w:tcPr>
            <w:tcW w:type="dxa" w:w="4706"/>
            <w:tcMar>
              <w:top w:type="dxa" w:w="120"/>
              <w:left w:type="dxa" w:w="120"/>
              <w:bottom w:type="dxa" w:w="120"/>
              <w:right w:type="dxa" w:w="120"/>
            </w:tcMar>
            <w:vAlign w:val="center"/>
          </w:tcPr>
          <w:p>
            <w:pPr>
              <w:spacing w:after="80"/>
            </w:pPr>
            <w:r>
              <w:rPr>
                <w:rFonts w:ascii="Public Sans" w:cs="Public Sans" w:eastAsia="Public Sans" w:hAnsi="Public Sans"/>
                <w:color w:val="66757A"/>
                <w:sz w:val="15"/>
                <w:szCs w:val="15"/>
              </w:rPr>
              <w:t xml:space="preserve">NEXT REVIEW</w:t>
            </w:r>
          </w:p>
          <w:p>
            <w:pPr>
              <w:spacing w:after="180"/>
            </w:pPr>
            <w:r>
              <w:rPr>
                <w:rFonts w:ascii="Public Sans" w:cs="Public Sans" w:eastAsia="Public Sans" w:hAnsi="Public Sans"/>
                <w:color w:val="66757A"/>
                <w:sz w:val="20"/>
                <w:szCs w:val="20"/>
              </w:rPr>
              <w:t xml:space="preserve">2027-01-14</w:t>
            </w:r>
          </w:p>
        </w:tc>
      </w:tr>
    </w:tbl>
    <w:p>
      <w:r>
        <w:br w:type="page"/>
      </w:r>
    </w:p>
    <w:p>
      <w:pPr>
        <w:pStyle w:val="PolicyHeading"/>
        <w:spacing w:after="360"/>
        <w:jc w:val="left"/>
      </w:pPr>
      <w:r>
        <w:t xml:space="preserve">Contents</w:t>
      </w:r>
    </w:p>
    <w:p>
      <w:pPr>
        <w:pBdr>
          <w:bottom w:val="dotted" w:color="D6E0E2" w:sz="3" w:space="1"/>
        </w:pBdr>
        <w:spacing w:after="95" w:before="60"/>
      </w:pPr>
      <w:hyperlink w:history="1" w:anchor="standard-preface">
        <w:r>
          <w:rPr>
            <w:rFonts w:ascii="Public Sans" w:cs="Public Sans" w:eastAsia="Public Sans" w:hAnsi="Public Sans"/>
            <w:b/>
            <w:bCs/>
            <w:color w:val="173F4B"/>
            <w:sz w:val="20"/>
            <w:szCs w:val="20"/>
          </w:rPr>
          <w:t xml:space="preserve">01   </w:t>
        </w:r>
        <w:r>
          <w:rPr>
            <w:rFonts w:ascii="Public Sans" w:cs="Public Sans" w:eastAsia="Public Sans" w:hAnsi="Public Sans"/>
            <w:color w:val="102B33"/>
            <w:sz w:val="20"/>
            <w:szCs w:val="20"/>
          </w:rPr>
          <w:t xml:space="preserve">Preface</w:t>
        </w:r>
      </w:hyperlink>
    </w:p>
    <w:p>
      <w:pPr>
        <w:pBdr>
          <w:bottom w:val="dotted" w:color="D6E0E2" w:sz="3" w:space="1"/>
        </w:pBdr>
        <w:spacing w:after="95" w:before="60"/>
      </w:pPr>
      <w:hyperlink w:history="1" w:anchor="standard-declaration">
        <w:r>
          <w:rPr>
            <w:rFonts w:ascii="Public Sans" w:cs="Public Sans" w:eastAsia="Public Sans" w:hAnsi="Public Sans"/>
            <w:b/>
            <w:bCs/>
            <w:color w:val="173F4B"/>
            <w:sz w:val="20"/>
            <w:szCs w:val="20"/>
          </w:rPr>
          <w:t xml:space="preserve">02   </w:t>
        </w:r>
        <w:r>
          <w:rPr>
            <w:rFonts w:ascii="Public Sans" w:cs="Public Sans" w:eastAsia="Public Sans" w:hAnsi="Public Sans"/>
            <w:color w:val="102B33"/>
            <w:sz w:val="20"/>
            <w:szCs w:val="20"/>
          </w:rPr>
          <w:t xml:space="preserve">Policy Declaration</w:t>
        </w:r>
      </w:hyperlink>
    </w:p>
    <w:p>
      <w:pPr>
        <w:pBdr>
          <w:bottom w:val="dotted" w:color="D6E0E2" w:sz="3" w:space="1"/>
        </w:pBdr>
        <w:spacing w:after="95" w:before="60"/>
      </w:pPr>
      <w:hyperlink w:history="1" w:anchor="standard-scope">
        <w:r>
          <w:rPr>
            <w:rFonts w:ascii="Public Sans" w:cs="Public Sans" w:eastAsia="Public Sans" w:hAnsi="Public Sans"/>
            <w:b/>
            <w:bCs/>
            <w:color w:val="173F4B"/>
            <w:sz w:val="20"/>
            <w:szCs w:val="20"/>
          </w:rPr>
          <w:t xml:space="preserve">03   </w:t>
        </w:r>
        <w:r>
          <w:rPr>
            <w:rFonts w:ascii="Public Sans" w:cs="Public Sans" w:eastAsia="Public Sans" w:hAnsi="Public Sans"/>
            <w:color w:val="102B33"/>
            <w:sz w:val="20"/>
            <w:szCs w:val="20"/>
          </w:rPr>
          <w:t xml:space="preserve">Scope</w:t>
        </w:r>
      </w:hyperlink>
    </w:p>
    <w:p>
      <w:pPr>
        <w:pBdr>
          <w:bottom w:val="dotted" w:color="D6E0E2" w:sz="3" w:space="1"/>
        </w:pBdr>
        <w:spacing w:after="95" w:before="60"/>
      </w:pPr>
      <w:hyperlink w:history="1" w:anchor="standard-focus">
        <w:r>
          <w:rPr>
            <w:rFonts w:ascii="Public Sans" w:cs="Public Sans" w:eastAsia="Public Sans" w:hAnsi="Public Sans"/>
            <w:b/>
            <w:bCs/>
            <w:color w:val="173F4B"/>
            <w:sz w:val="20"/>
            <w:szCs w:val="20"/>
          </w:rPr>
          <w:t xml:space="preserve">04   </w:t>
        </w:r>
        <w:r>
          <w:rPr>
            <w:rFonts w:ascii="Public Sans" w:cs="Public Sans" w:eastAsia="Public Sans" w:hAnsi="Public Sans"/>
            <w:color w:val="102B33"/>
            <w:sz w:val="20"/>
            <w:szCs w:val="20"/>
          </w:rPr>
          <w:t xml:space="preserve">Key Focus Areas</w:t>
        </w:r>
      </w:hyperlink>
    </w:p>
    <w:p>
      <w:pPr>
        <w:pBdr>
          <w:bottom w:val="dotted" w:color="D6E0E2" w:sz="3" w:space="1"/>
        </w:pBdr>
        <w:spacing w:after="95" w:before="60"/>
      </w:pPr>
      <w:hyperlink w:history="1" w:anchor="standard-sdg">
        <w:r>
          <w:rPr>
            <w:rFonts w:ascii="Public Sans" w:cs="Public Sans" w:eastAsia="Public Sans" w:hAnsi="Public Sans"/>
            <w:b/>
            <w:bCs/>
            <w:color w:val="173F4B"/>
            <w:sz w:val="20"/>
            <w:szCs w:val="20"/>
          </w:rPr>
          <w:t xml:space="preserve">05   </w:t>
        </w:r>
        <w:r>
          <w:rPr>
            <w:rFonts w:ascii="Public Sans" w:cs="Public Sans" w:eastAsia="Public Sans" w:hAnsi="Public Sans"/>
            <w:color w:val="102B33"/>
            <w:sz w:val="20"/>
            <w:szCs w:val="20"/>
          </w:rPr>
          <w:t xml:space="preserve">SDG Alignment</w:t>
        </w:r>
      </w:hyperlink>
    </w:p>
    <w:p>
      <w:pPr>
        <w:pBdr>
          <w:bottom w:val="dotted" w:color="D6E0E2" w:sz="3" w:space="1"/>
        </w:pBdr>
        <w:spacing w:after="95" w:before="60"/>
      </w:pPr>
      <w:hyperlink w:history="1" w:anchor="standard-responsibilities">
        <w:r>
          <w:rPr>
            <w:rFonts w:ascii="Public Sans" w:cs="Public Sans" w:eastAsia="Public Sans" w:hAnsi="Public Sans"/>
            <w:b/>
            <w:bCs/>
            <w:color w:val="173F4B"/>
            <w:sz w:val="20"/>
            <w:szCs w:val="20"/>
          </w:rPr>
          <w:t xml:space="preserve">06   </w:t>
        </w:r>
        <w:r>
          <w:rPr>
            <w:rFonts w:ascii="Public Sans" w:cs="Public Sans" w:eastAsia="Public Sans" w:hAnsi="Public Sans"/>
            <w:color w:val="102B33"/>
            <w:sz w:val="20"/>
            <w:szCs w:val="20"/>
          </w:rPr>
          <w:t xml:space="preserve">Roles &amp; Responsibilities</w:t>
        </w:r>
      </w:hyperlink>
    </w:p>
    <w:p>
      <w:pPr>
        <w:pBdr>
          <w:bottom w:val="dotted" w:color="D6E0E2" w:sz="3" w:space="1"/>
        </w:pBdr>
        <w:spacing w:after="95" w:before="60"/>
      </w:pPr>
      <w:hyperlink w:history="1" w:anchor="standard-monitoring">
        <w:r>
          <w:rPr>
            <w:rFonts w:ascii="Public Sans" w:cs="Public Sans" w:eastAsia="Public Sans" w:hAnsi="Public Sans"/>
            <w:b/>
            <w:bCs/>
            <w:color w:val="173F4B"/>
            <w:sz w:val="20"/>
            <w:szCs w:val="20"/>
          </w:rPr>
          <w:t xml:space="preserve">07   </w:t>
        </w:r>
        <w:r>
          <w:rPr>
            <w:rFonts w:ascii="Public Sans" w:cs="Public Sans" w:eastAsia="Public Sans" w:hAnsi="Public Sans"/>
            <w:color w:val="102B33"/>
            <w:sz w:val="20"/>
            <w:szCs w:val="20"/>
          </w:rPr>
          <w:t xml:space="preserve">Monitoring, Reporting &amp; Transparency</w:t>
        </w:r>
      </w:hyperlink>
    </w:p>
    <w:p>
      <w:pPr>
        <w:pBdr>
          <w:bottom w:val="dotted" w:color="D6E0E2" w:sz="3" w:space="1"/>
        </w:pBdr>
        <w:spacing w:after="95" w:before="60"/>
      </w:pPr>
      <w:hyperlink w:history="1" w:anchor="standard-review">
        <w:r>
          <w:rPr>
            <w:rFonts w:ascii="Public Sans" w:cs="Public Sans" w:eastAsia="Public Sans" w:hAnsi="Public Sans"/>
            <w:b/>
            <w:bCs/>
            <w:color w:val="173F4B"/>
            <w:sz w:val="20"/>
            <w:szCs w:val="20"/>
          </w:rPr>
          <w:t xml:space="preserve">08   </w:t>
        </w:r>
        <w:r>
          <w:rPr>
            <w:rFonts w:ascii="Public Sans" w:cs="Public Sans" w:eastAsia="Public Sans" w:hAnsi="Public Sans"/>
            <w:color w:val="102B33"/>
            <w:sz w:val="20"/>
            <w:szCs w:val="20"/>
          </w:rPr>
          <w:t xml:space="preserve">Review Mechanism &amp; Continuous Improvement</w:t>
        </w:r>
      </w:hyperlink>
    </w:p>
    <w:p>
      <w:r>
        <w:br w:type="page"/>
      </w:r>
    </w:p>
    <w:p>
      <w:pPr>
        <w:pStyle w:val="PolicyHeading"/>
        <w:pBdr>
          <w:bottom w:val="single" w:color="173F4B" w:sz="4" w:space="1"/>
        </w:pBdr>
        <w:spacing w:after="180" w:before="260"/>
        <w:jc w:val="left"/>
      </w:pPr>
      <w:bookmarkStart w:name="standard-preface" w:id="1"/>
      <w:bookmarkEnd w:id="1"/>
      <w:r>
        <w:rPr>
          <w:rFonts w:ascii="Public Sans" w:cs="Public Sans" w:eastAsia="Public Sans" w:hAnsi="Public Sans"/>
          <w:color w:val="66757A"/>
          <w:sz w:val="20"/>
          <w:szCs w:val="20"/>
        </w:rPr>
        <w:t xml:space="preserve">01   </w:t>
      </w:r>
      <w:r>
        <w:rPr>
          <w:rFonts w:ascii="Public Sans" w:cs="Public Sans" w:eastAsia="Public Sans" w:hAnsi="Public Sans"/>
          <w:b/>
          <w:bCs/>
          <w:color w:val="102B33"/>
          <w:sz w:val="32"/>
          <w:szCs w:val="32"/>
        </w:rPr>
        <w:t xml:space="preserve">Preface</w:t>
      </w:r>
    </w:p>
    <w:p>
      <w:pPr>
        <w:pStyle w:val="PolicyBody"/>
        <w:spacing w:after="150" w:line="348"/>
        <w:jc w:val="both"/>
      </w:pPr>
      <w:r>
        <w:rPr>
          <w:rFonts w:ascii="Public Sans" w:cs="Public Sans" w:eastAsia="Public Sans" w:hAnsi="Public Sans"/>
          <w:sz w:val="22"/>
          <w:szCs w:val="22"/>
        </w:rPr>
        <w:t xml:space="preserve">Sustainable Procurement Policy provides a consistent framework for Acme Specialty Chemicals Pvt. Ltd. to define responsibilities, make decisions, and review performance across its activities and locations.</w:t>
      </w:r>
    </w:p>
    <w:p>
      <w:pPr>
        <w:spacing w:before="140"/>
      </w:pPr>
      <w:r>
        <w:rPr>
          <w:sz w:val="2"/>
          <w:szCs w:val="2"/>
        </w:rPr>
        <w:t xml:space="preserve"> </w:t>
      </w:r>
    </w:p>
    <w:p>
      <w:pPr>
        <w:pStyle w:val="PolicyHeading"/>
        <w:pBdr>
          <w:bottom w:val="single" w:color="173F4B" w:sz="4" w:space="1"/>
        </w:pBdr>
        <w:spacing w:after="180" w:before="260"/>
        <w:jc w:val="left"/>
      </w:pPr>
      <w:bookmarkStart w:name="standard-declaration" w:id="1"/>
      <w:bookmarkEnd w:id="1"/>
      <w:r>
        <w:rPr>
          <w:rFonts w:ascii="Public Sans" w:cs="Public Sans" w:eastAsia="Public Sans" w:hAnsi="Public Sans"/>
          <w:color w:val="66757A"/>
          <w:sz w:val="20"/>
          <w:szCs w:val="20"/>
        </w:rPr>
        <w:t xml:space="preserve">02   </w:t>
      </w:r>
      <w:r>
        <w:rPr>
          <w:rFonts w:ascii="Public Sans" w:cs="Public Sans" w:eastAsia="Public Sans" w:hAnsi="Public Sans"/>
          <w:b/>
          <w:bCs/>
          <w:color w:val="102B33"/>
          <w:sz w:val="32"/>
          <w:szCs w:val="32"/>
        </w:rPr>
        <w:t xml:space="preserve">Policy Declaration</w:t>
      </w:r>
    </w:p>
    <w:p>
      <w:pPr>
        <w:pStyle w:val="PolicyBody"/>
        <w:spacing w:after="150" w:line="348"/>
        <w:jc w:val="both"/>
      </w:pPr>
      <w:r>
        <w:rPr>
          <w:rFonts w:ascii="Public Sans" w:cs="Public Sans" w:eastAsia="Public Sans" w:hAnsi="Public Sans"/>
          <w:sz w:val="22"/>
          <w:szCs w:val="22"/>
        </w:rPr>
        <w:t xml:space="preserve">Acme Specialty Chemicals affirms its commitment to implementing this Sustainable Procurement Policy in line with applicable requirements, proportionate controls, and regular management review.</w:t>
      </w:r>
    </w:p>
    <w:p>
      <w:pPr>
        <w:spacing w:before="140"/>
      </w:pPr>
      <w:r>
        <w:rPr>
          <w:sz w:val="2"/>
          <w:szCs w:val="2"/>
        </w:rPr>
        <w:t xml:space="preserve"> </w:t>
      </w:r>
    </w:p>
    <w:p>
      <w:pPr>
        <w:pStyle w:val="PolicyHeading"/>
        <w:pBdr>
          <w:bottom w:val="single" w:color="173F4B" w:sz="4" w:space="1"/>
        </w:pBdr>
        <w:spacing w:after="180" w:before="260"/>
        <w:jc w:val="left"/>
      </w:pPr>
      <w:bookmarkStart w:name="standard-scope" w:id="1"/>
      <w:bookmarkEnd w:id="1"/>
      <w:r>
        <w:rPr>
          <w:rFonts w:ascii="Public Sans" w:cs="Public Sans" w:eastAsia="Public Sans" w:hAnsi="Public Sans"/>
          <w:color w:val="66757A"/>
          <w:sz w:val="20"/>
          <w:szCs w:val="20"/>
        </w:rPr>
        <w:t xml:space="preserve">03   </w:t>
      </w:r>
      <w:r>
        <w:rPr>
          <w:rFonts w:ascii="Public Sans" w:cs="Public Sans" w:eastAsia="Public Sans" w:hAnsi="Public Sans"/>
          <w:b/>
          <w:bCs/>
          <w:color w:val="102B33"/>
          <w:sz w:val="32"/>
          <w:szCs w:val="32"/>
        </w:rPr>
        <w:t xml:space="preserve">Scope</w:t>
      </w:r>
    </w:p>
    <w:p>
      <w:pPr>
        <w:pStyle w:val="PolicyBody"/>
        <w:spacing w:after="150" w:line="348"/>
        <w:jc w:val="both"/>
      </w:pPr>
      <w:r>
        <w:rPr>
          <w:rFonts w:ascii="Public Sans" w:cs="Public Sans" w:eastAsia="Public Sans" w:hAnsi="Public Sans"/>
          <w:sz w:val="22"/>
          <w:szCs w:val="22"/>
        </w:rPr>
        <w:t xml:space="preserve">This Sustainable Procurement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Location / Unit</w:t>
            </w:r>
          </w:p>
        </w:tc>
        <w:tc>
          <w:tcPr>
            <w:tcW w:type="dxa" w:w="4750"/>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Address</w:t>
            </w:r>
          </w:p>
        </w:tc>
        <w:tc>
          <w:tcPr>
            <w:tcW w:type="dxa" w:w="2382"/>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28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focus" w:id="1"/>
      <w:bookmarkEnd w:id="1"/>
      <w:r>
        <w:rPr>
          <w:rFonts w:ascii="Public Sans" w:cs="Public Sans" w:eastAsia="Public Sans" w:hAnsi="Public Sans"/>
          <w:color w:val="66757A"/>
          <w:sz w:val="20"/>
          <w:szCs w:val="20"/>
        </w:rPr>
        <w:t xml:space="preserve">04   </w:t>
      </w:r>
      <w:r>
        <w:rPr>
          <w:rFonts w:ascii="Public Sans" w:cs="Public Sans" w:eastAsia="Public Sans" w:hAnsi="Public Sans"/>
          <w:b/>
          <w:bCs/>
          <w:color w:val="102B33"/>
          <w:sz w:val="32"/>
          <w:szCs w:val="32"/>
        </w:rPr>
        <w:t xml:space="preserve">Key Focus Areas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700"/>
        <w:gridCol w:w="8712"/>
      </w:tblGrid>
      <w:tr>
        <w:trPr>
          <w:cantSplit/>
        </w:trPr>
        <w:tc>
          <w:tcPr>
            <w:tcW w:type="dxa" w:w="700"/>
            <w:tcBorders>
              <w:top w:val="none" w:color="FFFFFF" w:sz="0" w:space="1"/>
              <w:left w:val="none" w:color="FFFFFF" w:sz="0" w:space="1"/>
              <w:bottom w:val="none" w:color="FFFFFF" w:sz="0" w:space="1"/>
              <w:right w:val="none" w:color="FFFFFF" w:sz="0" w:space="1"/>
            </w:tcBorders>
            <w:shd w:fill="173F4B" w:color="173F4B" w:val="solid"/>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01</w:t>
            </w:r>
          </w:p>
        </w:tc>
        <w:tc>
          <w:tcPr>
            <w:tcW w:type="dxa" w:w="8712"/>
            <w:tcBorders>
              <w:top w:val="single" w:color="D6E0E2" w:sz="5" w:space="1"/>
            </w:tcBorders>
            <w:tcMar>
              <w:top w:type="dxa" w:w="120"/>
              <w:left w:type="dxa" w:w="120"/>
              <w:bottom w:type="dxa" w:w="120"/>
              <w:right w:type="dxa" w:w="120"/>
            </w:tcMar>
            <w:vAlign w:val="center"/>
          </w:tcPr>
          <w:p>
            <w:r>
              <w:rPr>
                <w:b w:val="false"/>
                <w:bCs w:val="false"/>
                <w:color w:val="192529"/>
                <w:sz w:val="20"/>
                <w:szCs w:val="20"/>
              </w:rPr>
              <w:t xml:space="preserve">Supplier Code of Conduct &amp; Onboarding</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sdg" w:id="1"/>
      <w:bookmarkEnd w:id="1"/>
      <w:r>
        <w:rPr>
          <w:rFonts w:ascii="Public Sans" w:cs="Public Sans" w:eastAsia="Public Sans" w:hAnsi="Public Sans"/>
          <w:color w:val="66757A"/>
          <w:sz w:val="20"/>
          <w:szCs w:val="20"/>
        </w:rPr>
        <w:t xml:space="preserve">05   </w:t>
      </w:r>
      <w:r>
        <w:rPr>
          <w:rFonts w:ascii="Public Sans" w:cs="Public Sans" w:eastAsia="Public Sans" w:hAnsi="Public Sans"/>
          <w:b/>
          <w:bCs/>
          <w:color w:val="102B33"/>
          <w:sz w:val="32"/>
          <w:szCs w:val="32"/>
        </w:rPr>
        <w:t xml:space="preserve">SDG Alignment</w:t>
      </w:r>
    </w:p>
    <w:p>
      <w:pPr>
        <w:spacing w:after="130"/>
      </w:pPr>
      <w:r>
        <w:rPr>
          <w:rFonts w:ascii="Public Sans" w:cs="Public Sans" w:eastAsia="Public Sans" w:hAnsi="Public Sans"/>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8012"/>
            <w:tcMar>
              <w:top w:type="dxa" w:w="120"/>
              <w:left w:type="dxa" w:w="120"/>
              <w:bottom w:type="dxa" w:w="120"/>
              <w:right w:type="dxa" w:w="120"/>
            </w:tcMar>
            <w:vAlign w:val="center"/>
          </w:tcPr>
          <w:p>
            <w:r>
              <w:rPr>
                <w:rFonts w:ascii="Public Sans" w:cs="Public Sans" w:eastAsia="Public Sans" w:hAnsi="Public Sans"/>
                <w:b/>
                <w:bCs/>
                <w:color w:val="A21942"/>
                <w:sz w:val="19"/>
                <w:szCs w:val="19"/>
              </w:rPr>
              <w:t xml:space="preserve">Decent Work</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FD6925" w:color="FD6925" w:val="solid"/>
            <w:tcMar>
              <w:top w:type="dxa" w:w="120"/>
              <w:left w:type="dxa" w:w="120"/>
              <w:bottom w:type="dxa" w:w="120"/>
              <w:right w:type="dxa" w:w="120"/>
            </w:tcMar>
            <w:vAlign w:val="center"/>
          </w:tcPr>
          <w:p>
            <w:pPr>
              <w:jc w:val="center"/>
            </w:pPr>
            <w:r>
              <w:rPr>
                <w:b/>
                <w:bCs/>
                <w:color w:val="FFFFFF"/>
                <w:sz w:val="17"/>
                <w:szCs w:val="17"/>
              </w:rPr>
              <w:t xml:space="preserve">SDG 9</w:t>
            </w:r>
          </w:p>
        </w:tc>
        <w:tc>
          <w:tcPr>
            <w:tcW w:type="dxa" w:w="8012"/>
            <w:tcMar>
              <w:top w:type="dxa" w:w="120"/>
              <w:left w:type="dxa" w:w="120"/>
              <w:bottom w:type="dxa" w:w="120"/>
              <w:right w:type="dxa" w:w="120"/>
            </w:tcMar>
            <w:vAlign w:val="center"/>
          </w:tcPr>
          <w:p>
            <w:r>
              <w:rPr>
                <w:rFonts w:ascii="Public Sans" w:cs="Public Sans" w:eastAsia="Public Sans" w:hAnsi="Public Sans"/>
                <w:b/>
                <w:bCs/>
                <w:color w:val="FD6925"/>
                <w:sz w:val="19"/>
                <w:szCs w:val="19"/>
              </w:rPr>
              <w:t xml:space="preserve">Industry &amp; Innovation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BF8B2E" w:color="BF8B2E" w:val="solid"/>
            <w:tcMar>
              <w:top w:type="dxa" w:w="120"/>
              <w:left w:type="dxa" w:w="120"/>
              <w:bottom w:type="dxa" w:w="120"/>
              <w:right w:type="dxa" w:w="120"/>
            </w:tcMar>
            <w:vAlign w:val="center"/>
          </w:tcPr>
          <w:p>
            <w:pPr>
              <w:jc w:val="center"/>
            </w:pPr>
            <w:r>
              <w:rPr>
                <w:b/>
                <w:bCs/>
                <w:color w:val="FFFFFF"/>
                <w:sz w:val="17"/>
                <w:szCs w:val="17"/>
              </w:rPr>
              <w:t xml:space="preserve">SDG 12</w:t>
            </w:r>
          </w:p>
        </w:tc>
        <w:tc>
          <w:tcPr>
            <w:tcW w:type="dxa" w:w="8012"/>
            <w:tcMar>
              <w:top w:type="dxa" w:w="120"/>
              <w:left w:type="dxa" w:w="120"/>
              <w:bottom w:type="dxa" w:w="120"/>
              <w:right w:type="dxa" w:w="120"/>
            </w:tcMar>
            <w:vAlign w:val="center"/>
          </w:tcPr>
          <w:p>
            <w:r>
              <w:rPr>
                <w:rFonts w:ascii="Public Sans" w:cs="Public Sans" w:eastAsia="Public Sans" w:hAnsi="Public Sans"/>
                <w:b/>
                <w:bCs/>
                <w:color w:val="BF8B2E"/>
                <w:sz w:val="19"/>
                <w:szCs w:val="19"/>
              </w:rPr>
              <w:t xml:space="preserve">Responsible Consumption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00689D" w:color="00689D" w:val="solid"/>
            <w:tcMar>
              <w:top w:type="dxa" w:w="120"/>
              <w:left w:type="dxa" w:w="120"/>
              <w:bottom w:type="dxa" w:w="120"/>
              <w:right w:type="dxa" w:w="120"/>
            </w:tcMar>
            <w:vAlign w:val="center"/>
          </w:tcPr>
          <w:p>
            <w:pPr>
              <w:jc w:val="center"/>
            </w:pPr>
            <w:r>
              <w:rPr>
                <w:b/>
                <w:bCs/>
                <w:color w:val="FFFFFF"/>
                <w:sz w:val="17"/>
                <w:szCs w:val="17"/>
              </w:rPr>
              <w:t xml:space="preserve">SDG 16</w:t>
            </w:r>
          </w:p>
        </w:tc>
        <w:tc>
          <w:tcPr>
            <w:tcW w:type="dxa" w:w="8012"/>
            <w:tcMar>
              <w:top w:type="dxa" w:w="120"/>
              <w:left w:type="dxa" w:w="120"/>
              <w:bottom w:type="dxa" w:w="120"/>
              <w:right w:type="dxa" w:w="120"/>
            </w:tcMar>
            <w:vAlign w:val="center"/>
          </w:tcPr>
          <w:p>
            <w:r>
              <w:rPr>
                <w:rFonts w:ascii="Public Sans" w:cs="Public Sans" w:eastAsia="Public Sans" w:hAnsi="Public Sans"/>
                <w:b/>
                <w:bCs/>
                <w:color w:val="00689D"/>
                <w:sz w:val="19"/>
                <w:szCs w:val="19"/>
              </w:rPr>
              <w:t xml:space="preserve">Peace &amp; Justice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8012"/>
            <w:tcMar>
              <w:top w:type="dxa" w:w="120"/>
              <w:left w:type="dxa" w:w="120"/>
              <w:bottom w:type="dxa" w:w="120"/>
              <w:right w:type="dxa" w:w="120"/>
            </w:tcMar>
            <w:vAlign w:val="center"/>
          </w:tcPr>
          <w:p>
            <w:r>
              <w:rPr>
                <w:rFonts w:ascii="Public Sans" w:cs="Public Sans" w:eastAsia="Public Sans" w:hAnsi="Public Sans"/>
                <w:b/>
                <w:bCs/>
                <w:color w:val="19486A"/>
                <w:sz w:val="19"/>
                <w:szCs w:val="19"/>
              </w:rPr>
              <w:t xml:space="preserve">Partnerships</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responsibilities" w:id="1"/>
      <w:bookmarkEnd w:id="1"/>
      <w:r>
        <w:rPr>
          <w:rFonts w:ascii="Public Sans" w:cs="Public Sans" w:eastAsia="Public Sans" w:hAnsi="Public Sans"/>
          <w:color w:val="66757A"/>
          <w:sz w:val="20"/>
          <w:szCs w:val="20"/>
        </w:rPr>
        <w:t xml:space="preserve">06   </w:t>
      </w:r>
      <w:r>
        <w:rPr>
          <w:rFonts w:ascii="Public Sans" w:cs="Public Sans" w:eastAsia="Public Sans" w:hAnsi="Public Sans"/>
          <w:b/>
          <w:bCs/>
          <w:color w:val="102B33"/>
          <w:sz w:val="32"/>
          <w:szCs w:val="32"/>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Role / Department</w:t>
            </w:r>
          </w:p>
        </w:tc>
        <w:tc>
          <w:tcPr>
            <w:tcW w:type="dxa" w:w="6562"/>
            <w:tcBorders>
              <w:top w:val="single" w:color="D6E0E2" w:sz="5" w:space="1"/>
              <w:left w:val="single" w:color="D6E0E2" w:sz="5" w:space="1"/>
              <w:bottom w:val="single" w:color="D6E0E2" w:sz="5" w:space="1"/>
              <w:right w:val="single" w:color="D6E0E2" w:sz="5" w:space="1"/>
            </w:tcBorders>
            <w:shd w:fill="173F4B" w:color="173F4B" w:val="solid"/>
            <w:tcMar>
              <w:top w:type="dxa" w:w="120"/>
              <w:left w:type="dxa" w:w="120"/>
              <w:bottom w:type="dxa" w:w="120"/>
              <w:right w:type="dxa" w:w="120"/>
            </w:tcMar>
            <w:vAlign w:val="center"/>
          </w:tcPr>
          <w:p>
            <w:r>
              <w:rPr>
                <w:b/>
                <w:bCs/>
                <w:color w:val="FFFFFF"/>
                <w:sz w:val="17"/>
                <w:szCs w:val="17"/>
              </w:rPr>
              <w:t xml:space="preserve">Responsibility</w:t>
            </w:r>
          </w:p>
        </w:tc>
      </w:tr>
      <w:tr>
        <w:trPr>
          <w:cantSplit/>
        </w:trPr>
        <w:tc>
          <w:tcPr>
            <w:tcW w:type="dxa" w:w="2850"/>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bCs/>
                <w:sz w:val="17"/>
                <w:szCs w:val="17"/>
              </w:rPr>
              <w:t xml:space="preserve">Procurement Team</w:t>
            </w:r>
          </w:p>
        </w:tc>
        <w:tc>
          <w:tcPr>
            <w:tcW w:type="dxa" w:w="6562"/>
            <w:tcBorders>
              <w:top w:val="single" w:color="D6E0E2" w:sz="5" w:space="1"/>
              <w:left w:val="single" w:color="D6E0E2" w:sz="5" w:space="1"/>
              <w:bottom w:val="single" w:color="D6E0E2" w:sz="5" w:space="1"/>
              <w:right w:val="single" w:color="D6E0E2" w:sz="5" w:space="1"/>
            </w:tcBorders>
            <w:tcMar>
              <w:top w:type="dxa" w:w="120"/>
              <w:left w:type="dxa" w:w="120"/>
              <w:bottom w:type="dxa" w:w="120"/>
              <w:right w:type="dxa" w:w="120"/>
            </w:tcMar>
            <w:vAlign w:val="center"/>
          </w:tcPr>
          <w:p>
            <w:r>
              <w:rPr>
                <w:b w:val="false"/>
                <w:bCs w:val="false"/>
                <w:sz w:val="17"/>
                <w:szCs w:val="17"/>
              </w:rPr>
              <w:t xml:space="preserve">Integrate ESG and sustainability criteria into supplier selection, contracting, and ongoing performance management.</w:t>
            </w:r>
          </w:p>
        </w:tc>
      </w:tr>
    </w:tbl>
    <w:p>
      <w:pPr>
        <w:spacing w:before="140"/>
      </w:pPr>
      <w:r>
        <w:rPr>
          <w:sz w:val="2"/>
          <w:szCs w:val="2"/>
        </w:rPr>
        <w:t xml:space="preserve"> </w:t>
      </w:r>
    </w:p>
    <w:p>
      <w:pPr>
        <w:pStyle w:val="PolicyHeading"/>
        <w:pBdr>
          <w:bottom w:val="single" w:color="173F4B" w:sz="4" w:space="1"/>
        </w:pBdr>
        <w:spacing w:after="180" w:before="260"/>
        <w:jc w:val="left"/>
      </w:pPr>
      <w:bookmarkStart w:name="standard-monitoring" w:id="1"/>
      <w:bookmarkEnd w:id="1"/>
      <w:r>
        <w:rPr>
          <w:rFonts w:ascii="Public Sans" w:cs="Public Sans" w:eastAsia="Public Sans" w:hAnsi="Public Sans"/>
          <w:color w:val="66757A"/>
          <w:sz w:val="20"/>
          <w:szCs w:val="20"/>
        </w:rPr>
        <w:t xml:space="preserve">07   </w:t>
      </w:r>
      <w:r>
        <w:rPr>
          <w:rFonts w:ascii="Public Sans" w:cs="Public Sans" w:eastAsia="Public Sans" w:hAnsi="Public Sans"/>
          <w:b/>
          <w:bCs/>
          <w:color w:val="102B33"/>
          <w:sz w:val="32"/>
          <w:szCs w:val="32"/>
        </w:rPr>
        <w:t xml:space="preserve">Monitoring, Reporting &amp; Transparency</w:t>
      </w:r>
    </w:p>
    <w:p>
      <w:pPr>
        <w:pStyle w:val="PolicyBody"/>
        <w:spacing w:after="150" w:line="348"/>
        <w:jc w:val="both"/>
      </w:pPr>
      <w:r>
        <w:rPr>
          <w:rFonts w:ascii="Public Sans" w:cs="Public Sans" w:eastAsia="Public Sans" w:hAnsi="Public Sans"/>
          <w:sz w:val="22"/>
          <w:szCs w:val="22"/>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40"/>
      </w:pPr>
      <w:r>
        <w:rPr>
          <w:sz w:val="2"/>
          <w:szCs w:val="2"/>
        </w:rPr>
        <w:t xml:space="preserve"> </w:t>
      </w:r>
    </w:p>
    <w:p>
      <w:pPr>
        <w:pStyle w:val="PolicyHeading"/>
        <w:pBdr>
          <w:bottom w:val="single" w:color="173F4B" w:sz="4" w:space="1"/>
        </w:pBdr>
        <w:spacing w:after="180" w:before="260"/>
        <w:jc w:val="left"/>
      </w:pPr>
      <w:bookmarkStart w:name="standard-review" w:id="1"/>
      <w:bookmarkEnd w:id="1"/>
      <w:r>
        <w:rPr>
          <w:rFonts w:ascii="Public Sans" w:cs="Public Sans" w:eastAsia="Public Sans" w:hAnsi="Public Sans"/>
          <w:color w:val="66757A"/>
          <w:sz w:val="20"/>
          <w:szCs w:val="20"/>
        </w:rPr>
        <w:t xml:space="preserve">08   </w:t>
      </w:r>
      <w:r>
        <w:rPr>
          <w:rFonts w:ascii="Public Sans" w:cs="Public Sans" w:eastAsia="Public Sans" w:hAnsi="Public Sans"/>
          <w:b/>
          <w:bCs/>
          <w:color w:val="102B33"/>
          <w:sz w:val="32"/>
          <w:szCs w:val="32"/>
        </w:rPr>
        <w:t xml:space="preserve">Review Mechanism &amp; Continuous Improvement</w:t>
      </w:r>
    </w:p>
    <w:p>
      <w:pPr>
        <w:pStyle w:val="PolicyBody"/>
        <w:spacing w:after="150" w:line="348"/>
        <w:jc w:val="both"/>
      </w:pPr>
      <w:r>
        <w:rPr>
          <w:rFonts w:ascii="Public Sans" w:cs="Public Sans" w:eastAsia="Public Sans" w:hAnsi="Public Sans"/>
          <w:sz w:val="22"/>
          <w:szCs w:val="22"/>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40"/>
      </w:pPr>
      <w:r>
        <w:rPr>
          <w:sz w:val="2"/>
          <w:szCs w:val="2"/>
        </w:rPr>
        <w:t xml:space="preserve"> </w:t>
      </w:r>
    </w:p>
    <w:p>
      <w:pPr>
        <w:spacing w:before="100"/>
      </w:pPr>
      <w:r>
        <w:rPr>
          <w:sz w:val="2"/>
          <w:szCs w:val="2"/>
        </w:rPr>
        <w:t xml:space="preserve"> </w:t>
      </w:r>
    </w:p>
    <w:p>
      <w:pPr>
        <w:spacing w:after="120" w:before="160"/>
      </w:pPr>
      <w:r>
        <w:rPr>
          <w:rFonts w:ascii="Public Sans" w:cs="Public Sans" w:eastAsia="Public Sans" w:hAnsi="Public Sans"/>
          <w:b/>
          <w:bCs/>
          <w:color w:val="102B33"/>
        </w:rPr>
        <w:t xml:space="preserve">Approved by: </w:t>
      </w:r>
      <w:r>
        <w:rPr>
          <w:rFonts w:ascii="Public Sans" w:cs="Public Sans" w:eastAsia="Public Sans" w:hAnsi="Public Sans"/>
        </w:rPr>
        <w:t xml:space="preserve">Managing Director</w:t>
      </w:r>
    </w:p>
    <w:p>
      <w:r>
        <w:br w:type="page"/>
      </w:r>
    </w:p>
    <w:p>
      <w:pPr>
        <w:spacing w:after="180"/>
        <w:jc w:val="center"/>
      </w:pPr>
      <w:bookmarkStart w:name="acknowledgement" w:id="1"/>
      <w:bookmarkEnd w:id="1"/>
      <w:r>
        <w:rPr>
          <w:rFonts w:ascii="Public Sans" w:cs="Public Sans" w:eastAsia="Public Sans" w:hAnsi="Public Sans"/>
          <w:b/>
          <w:bCs/>
          <w:i w:val="false"/>
          <w:iCs w:val="false"/>
          <w:color w:val="102B33"/>
          <w:sz w:val="36"/>
          <w:szCs w:val="36"/>
        </w:rPr>
        <w:t xml:space="preserve">Employee Acknowledgement Form</w:t>
      </w:r>
    </w:p>
    <w:p>
      <w:pPr>
        <w:spacing w:after="260" w:line="348"/>
        <w:jc w:val="center"/>
      </w:pPr>
      <w:r>
        <w:rPr>
          <w:rFonts w:ascii="Public Sans" w:cs="Public Sans" w:eastAsia="Public Sans" w:hAnsi="Public Sans"/>
          <w:sz w:val="22"/>
          <w:szCs w:val="22"/>
        </w:rPr>
        <w:t xml:space="preserve">I acknowledge that I have read and understood the Sustainable Procurement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EMPLOYEE NAME</w:t>
            </w:r>
          </w:p>
          <w:p>
            <w:pPr>
              <w:pBdr>
                <w:bottom w:val="single" w:color="66757A"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EMPLOYEE ID</w:t>
            </w:r>
          </w:p>
          <w:p>
            <w:pPr>
              <w:pBdr>
                <w:bottom w:val="single" w:color="66757A"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DEPARTMENT</w:t>
            </w:r>
          </w:p>
          <w:p>
            <w:pPr>
              <w:pBdr>
                <w:bottom w:val="single" w:color="66757A"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DATE</w:t>
            </w:r>
          </w:p>
          <w:p>
            <w:pPr>
              <w:pBdr>
                <w:bottom w:val="single" w:color="66757A"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66757A"/>
                <w:spacing w:val="35"/>
                <w:sz w:val="14"/>
                <w:szCs w:val="14"/>
              </w:rPr>
              <w:t xml:space="preserve">SIGNATURE</w:t>
            </w:r>
          </w:p>
          <w:p>
            <w:pPr>
              <w:pBdr>
                <w:bottom w:val="single" w:color="66757A"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0E2" w:sz="5" w:space="1"/>
      </w:pBdr>
      <w:spacing w:before="80"/>
      <w:jc w:val="left"/>
    </w:pPr>
    <w:r>
      <w:rPr>
        <w:rFonts w:ascii="Public Sans" w:cs="Public Sans" w:eastAsia="Public Sans" w:hAnsi="Public Sans"/>
        <w:i w:val="false"/>
        <w:iCs w:val="false"/>
        <w:color w:val="66757A"/>
        <w:sz w:val="14"/>
        <w:szCs w:val="14"/>
      </w:rPr>
      <w:t xml:space="preserve">Effective 2025-01-15   -   Revision 01   -   Page </w:t>
    </w:r>
    <w:r>
      <w:rPr>
        <w:rFonts w:ascii="Public Sans" w:cs="Public Sans" w:eastAsia="Public Sans" w:hAnsi="Public Sans"/>
        <w:color w:val="66757A"/>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D6E0E2" w:sz="5" w:space="1"/>
      </w:pBdr>
      <w:spacing w:after="60"/>
      <w:jc w:val="left"/>
    </w:pPr>
    <w:r>
      <w:rPr>
        <w:rFonts w:ascii="Public Sans" w:cs="Public Sans" w:eastAsia="Public Sans" w:hAnsi="Public Sans"/>
        <w:b/>
        <w:bCs/>
        <w:color w:val="66757A"/>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48"/>
        <w:ind w:left="420" w:hanging="220"/>
      </w:pPr>
      <w:rPr>
        <w:rFonts w:ascii="Public Sans" w:cs="Public Sans" w:eastAsia="Public Sans" w:hAnsi="Public Sans"/>
        <w:color w:val="173F4B"/>
      </w:rPr>
    </w:lvl>
  </w:abstractNum>
  <w:abstractNum w:abstractNumId="3" w15:restartNumberingAfterBreak="0">
    <w:multiLevelType w:val="hybridMultilevel"/>
    <w:lvl w:ilvl="0" w15:tentative="1">
      <w:start w:val="1"/>
      <w:numFmt w:val="decimal"/>
      <w:lvlText w:val="%1."/>
      <w:lvlJc w:val="left"/>
      <w:pPr>
        <w:spacing w:after="90" w:line="348"/>
        <w:ind w:left="420" w:hanging="220"/>
      </w:pPr>
      <w:rPr>
        <w:rFonts w:ascii="Public Sans" w:cs="Public Sans" w:eastAsia="Public Sans" w:hAnsi="Public Sans"/>
        <w:b/>
        <w:bCs/>
        <w:color w:val="173F4B"/>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ublic Sans" w:cs="Public Sans" w:eastAsia="Public Sans" w:hAnsi="Public Sans"/>
        <w:color w:val="1925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80" w:before="300"/>
    </w:pPr>
    <w:rPr>
      <w:rFonts w:ascii="Public Sans" w:cs="Public Sans" w:eastAsia="Public Sans" w:hAnsi="Public Sans"/>
      <w:b/>
      <w:bCs/>
      <w:color w:val="102B33"/>
      <w:sz w:val="32"/>
      <w:szCs w:val="32"/>
    </w:rPr>
  </w:style>
  <w:style w:type="paragraph" w:styleId="PolicyBody">
    <w:name w:val="Policy Body"/>
    <w:basedOn w:val="Normal"/>
    <w:next w:val="PolicyBody"/>
    <w:qFormat/>
    <w:pPr>
      <w:spacing w:after="150" w:line="348"/>
    </w:pPr>
    <w:rPr>
      <w:rFonts w:ascii="Public Sans" w:cs="Public Sans" w:eastAsia="Public Sans" w:hAnsi="Public Sans"/>
      <w:color w:val="19252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61742487a58de6a6d662d90246df6ace8d01ce7.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061742487a58de6a6d662d90246df6ace8d01ce7.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Sustainable Procurement Policy - Acme Specialty Chemicals Pvt. Ltd.</dc:title>
  <dc:creator>PolicyCraft</dc:creator>
  <cp:lastModifiedBy>Un-named</cp:lastModifiedBy>
  <cp:revision>1</cp:revision>
  <dcterms:created xsi:type="dcterms:W3CDTF">2026-09-08T05:36:09.150Z</dcterms:created>
  <dcterms:modified xsi:type="dcterms:W3CDTF">2026-09-08T05:36:09.150Z</dcterms:modified>
</cp:coreProperties>
</file>

<file path=docProps/custom.xml><?xml version="1.0" encoding="utf-8"?>
<Properties xmlns="http://schemas.openxmlformats.org/officeDocument/2006/custom-properties" xmlns:vt="http://schemas.openxmlformats.org/officeDocument/2006/docPropsVTypes"/>
</file>