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Bell MT" w:cs="Bell MT" w:eastAsia="Bell MT" w:hAnsi="Bell MT"/>
          <w:color w:val="64766E"/>
          <w:sz w:val="25"/>
          <w:szCs w:val="25"/>
        </w:rPr>
        <w:t xml:space="preserve">Acme Specialty Chemicals Pvt. Ltd.</w:t>
      </w:r>
    </w:p>
    <w:p>
      <w:pPr>
        <w:spacing w:before="3402"/>
      </w:pPr>
      <w:r>
        <w:rPr>
          <w:sz w:val="2"/>
          <w:szCs w:val="2"/>
        </w:rPr>
        <w:t xml:space="preserve"> </w:t>
      </w:r>
    </w:p>
    <w:p>
      <w:pPr>
        <w:spacing w:after="140"/>
        <w:jc w:val="left"/>
      </w:pPr>
      <w:r>
        <w:rPr>
          <w:rFonts w:ascii="Bell MT" w:cs="Bell MT" w:eastAsia="Bell MT" w:hAnsi="Bell MT"/>
          <w:b/>
          <w:bCs/>
          <w:color w:val="1B443A"/>
          <w:sz w:val="84"/>
          <w:szCs w:val="84"/>
        </w:rPr>
        <w:t xml:space="preserve">Ethics Policy</w:t>
      </w:r>
    </w:p>
    <w:p>
      <w:pPr>
        <w:spacing w:before="900"/>
      </w:pPr>
      <w:r>
        <w:rPr>
          <w:sz w:val="2"/>
          <w:szCs w:val="2"/>
        </w:rPr>
        <w:t xml:space="preserve"> </w:t>
      </w:r>
    </w:p>
    <w:p>
      <w:pPr>
        <w:pBdr>
          <w:top w:val="single" w:color="CFE0D9"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20"/>
              <w:bottom w:type="dxa" w:w="120"/>
              <w:right w:type="dxa" w:w="120"/>
            </w:tcMar>
            <w:vAlign w:val="center"/>
          </w:tcPr>
          <w:p>
            <w:pPr>
              <w:spacing w:after="80"/>
            </w:pPr>
            <w:r>
              <w:rPr>
                <w:rFonts w:ascii="Bell MT" w:cs="Bell MT" w:eastAsia="Bell MT" w:hAnsi="Bell MT"/>
                <w:color w:val="64766E"/>
                <w:sz w:val="15"/>
                <w:szCs w:val="15"/>
              </w:rPr>
              <w:t xml:space="preserve">DOCUMENT NO.</w:t>
            </w:r>
          </w:p>
          <w:p>
            <w:pPr>
              <w:spacing w:after="180"/>
            </w:pPr>
            <w:r>
              <w:rPr>
                <w:rFonts w:ascii="Bell MT" w:cs="Bell MT" w:eastAsia="Bell MT" w:hAnsi="Bell MT"/>
                <w:color w:val="64766E"/>
                <w:sz w:val="20"/>
                <w:szCs w:val="20"/>
              </w:rPr>
              <w:t xml:space="preserve">ASC-ENV-001</w:t>
            </w:r>
          </w:p>
        </w:tc>
        <w:tc>
          <w:tcPr>
            <w:tcW w:type="dxa" w:w="4706"/>
            <w:tcMar>
              <w:top w:type="dxa" w:w="120"/>
              <w:left w:type="dxa" w:w="120"/>
              <w:bottom w:type="dxa" w:w="120"/>
              <w:right w:type="dxa" w:w="120"/>
            </w:tcMar>
            <w:vAlign w:val="center"/>
          </w:tcPr>
          <w:p>
            <w:pPr>
              <w:spacing w:after="80"/>
            </w:pPr>
            <w:r>
              <w:rPr>
                <w:rFonts w:ascii="Bell MT" w:cs="Bell MT" w:eastAsia="Bell MT" w:hAnsi="Bell MT"/>
                <w:color w:val="64766E"/>
                <w:sz w:val="15"/>
                <w:szCs w:val="15"/>
              </w:rPr>
              <w:t xml:space="preserve">EFFECTIVE DATE</w:t>
            </w:r>
          </w:p>
          <w:p>
            <w:pPr>
              <w:spacing w:after="180"/>
            </w:pPr>
            <w:r>
              <w:rPr>
                <w:rFonts w:ascii="Bell MT" w:cs="Bell MT" w:eastAsia="Bell MT" w:hAnsi="Bell MT"/>
                <w:color w:val="64766E"/>
                <w:sz w:val="20"/>
                <w:szCs w:val="20"/>
              </w:rPr>
              <w:t xml:space="preserve">2025-01-15</w:t>
            </w:r>
          </w:p>
        </w:tc>
      </w:tr>
      <w:tr>
        <w:trPr>
          <w:cantSplit/>
        </w:trPr>
        <w:tc>
          <w:tcPr>
            <w:tcW w:type="dxa" w:w="4706"/>
            <w:tcMar>
              <w:top w:type="dxa" w:w="120"/>
              <w:left w:type="dxa" w:w="120"/>
              <w:bottom w:type="dxa" w:w="120"/>
              <w:right w:type="dxa" w:w="120"/>
            </w:tcMar>
            <w:vAlign w:val="center"/>
          </w:tcPr>
          <w:p>
            <w:pPr>
              <w:spacing w:after="80"/>
            </w:pPr>
            <w:r>
              <w:rPr>
                <w:rFonts w:ascii="Bell MT" w:cs="Bell MT" w:eastAsia="Bell MT" w:hAnsi="Bell MT"/>
                <w:color w:val="64766E"/>
                <w:sz w:val="15"/>
                <w:szCs w:val="15"/>
              </w:rPr>
              <w:t xml:space="preserve">REVISION</w:t>
            </w:r>
          </w:p>
          <w:p>
            <w:pPr>
              <w:spacing w:after="180"/>
            </w:pPr>
            <w:r>
              <w:rPr>
                <w:rFonts w:ascii="Bell MT" w:cs="Bell MT" w:eastAsia="Bell MT" w:hAnsi="Bell MT"/>
                <w:color w:val="64766E"/>
                <w:sz w:val="20"/>
                <w:szCs w:val="20"/>
              </w:rPr>
              <w:t xml:space="preserve">01</w:t>
            </w:r>
          </w:p>
        </w:tc>
        <w:tc>
          <w:tcPr>
            <w:tcW w:type="dxa" w:w="4706"/>
            <w:tcMar>
              <w:top w:type="dxa" w:w="120"/>
              <w:left w:type="dxa" w:w="120"/>
              <w:bottom w:type="dxa" w:w="120"/>
              <w:right w:type="dxa" w:w="120"/>
            </w:tcMar>
            <w:vAlign w:val="center"/>
          </w:tcPr>
          <w:p>
            <w:pPr>
              <w:spacing w:after="80"/>
            </w:pPr>
            <w:r>
              <w:rPr>
                <w:rFonts w:ascii="Bell MT" w:cs="Bell MT" w:eastAsia="Bell MT" w:hAnsi="Bell MT"/>
                <w:color w:val="64766E"/>
                <w:sz w:val="15"/>
                <w:szCs w:val="15"/>
              </w:rPr>
              <w:t xml:space="preserve">NEXT REVIEW</w:t>
            </w:r>
          </w:p>
          <w:p>
            <w:pPr>
              <w:spacing w:after="180"/>
            </w:pPr>
            <w:r>
              <w:rPr>
                <w:rFonts w:ascii="Bell MT" w:cs="Bell MT" w:eastAsia="Bell MT" w:hAnsi="Bell MT"/>
                <w:color w:val="64766E"/>
                <w:sz w:val="20"/>
                <w:szCs w:val="20"/>
              </w:rPr>
              <w:t xml:space="preserve">2027-01-14</w:t>
            </w:r>
          </w:p>
        </w:tc>
      </w:tr>
    </w:tbl>
    <w:p>
      <w:r>
        <w:br w:type="page"/>
      </w:r>
    </w:p>
    <w:p>
      <w:pPr>
        <w:pStyle w:val="PolicyHeading"/>
        <w:spacing w:after="360"/>
        <w:jc w:val="left"/>
      </w:pPr>
      <w:r>
        <w:t xml:space="preserve">Contents</w:t>
      </w:r>
    </w:p>
    <w:p>
      <w:pPr>
        <w:pBdr>
          <w:bottom w:val="dotted" w:color="CFE0D9" w:sz="3" w:space="1"/>
        </w:pBdr>
        <w:spacing w:after="95" w:before="60"/>
      </w:pPr>
      <w:hyperlink w:history="1" w:anchor="standard-preface">
        <w:r>
          <w:rPr>
            <w:rFonts w:ascii="Bell MT" w:cs="Bell MT" w:eastAsia="Bell MT" w:hAnsi="Bell MT"/>
            <w:b/>
            <w:bCs/>
            <w:color w:val="2D685A"/>
            <w:sz w:val="20"/>
            <w:szCs w:val="20"/>
          </w:rPr>
          <w:t xml:space="preserve">01   </w:t>
        </w:r>
        <w:r>
          <w:rPr>
            <w:rFonts w:ascii="Bell MT" w:cs="Bell MT" w:eastAsia="Bell MT" w:hAnsi="Bell MT"/>
            <w:color w:val="1B443A"/>
            <w:sz w:val="20"/>
            <w:szCs w:val="20"/>
          </w:rPr>
          <w:t xml:space="preserve">Preface</w:t>
        </w:r>
      </w:hyperlink>
    </w:p>
    <w:p>
      <w:pPr>
        <w:pBdr>
          <w:bottom w:val="dotted" w:color="CFE0D9" w:sz="3" w:space="1"/>
        </w:pBdr>
        <w:spacing w:after="95" w:before="60"/>
      </w:pPr>
      <w:hyperlink w:history="1" w:anchor="standard-declaration">
        <w:r>
          <w:rPr>
            <w:rFonts w:ascii="Bell MT" w:cs="Bell MT" w:eastAsia="Bell MT" w:hAnsi="Bell MT"/>
            <w:b/>
            <w:bCs/>
            <w:color w:val="2D685A"/>
            <w:sz w:val="20"/>
            <w:szCs w:val="20"/>
          </w:rPr>
          <w:t xml:space="preserve">02   </w:t>
        </w:r>
        <w:r>
          <w:rPr>
            <w:rFonts w:ascii="Bell MT" w:cs="Bell MT" w:eastAsia="Bell MT" w:hAnsi="Bell MT"/>
            <w:color w:val="1B443A"/>
            <w:sz w:val="20"/>
            <w:szCs w:val="20"/>
          </w:rPr>
          <w:t xml:space="preserve">Policy Declaration</w:t>
        </w:r>
      </w:hyperlink>
    </w:p>
    <w:p>
      <w:pPr>
        <w:pBdr>
          <w:bottom w:val="dotted" w:color="CFE0D9" w:sz="3" w:space="1"/>
        </w:pBdr>
        <w:spacing w:after="95" w:before="60"/>
      </w:pPr>
      <w:hyperlink w:history="1" w:anchor="standard-scope">
        <w:r>
          <w:rPr>
            <w:rFonts w:ascii="Bell MT" w:cs="Bell MT" w:eastAsia="Bell MT" w:hAnsi="Bell MT"/>
            <w:b/>
            <w:bCs/>
            <w:color w:val="2D685A"/>
            <w:sz w:val="20"/>
            <w:szCs w:val="20"/>
          </w:rPr>
          <w:t xml:space="preserve">03   </w:t>
        </w:r>
        <w:r>
          <w:rPr>
            <w:rFonts w:ascii="Bell MT" w:cs="Bell MT" w:eastAsia="Bell MT" w:hAnsi="Bell MT"/>
            <w:color w:val="1B443A"/>
            <w:sz w:val="20"/>
            <w:szCs w:val="20"/>
          </w:rPr>
          <w:t xml:space="preserve">Scope</w:t>
        </w:r>
      </w:hyperlink>
    </w:p>
    <w:p>
      <w:pPr>
        <w:pBdr>
          <w:bottom w:val="dotted" w:color="CFE0D9" w:sz="3" w:space="1"/>
        </w:pBdr>
        <w:spacing w:after="95" w:before="60"/>
      </w:pPr>
      <w:hyperlink w:history="1" w:anchor="standard-focus">
        <w:r>
          <w:rPr>
            <w:rFonts w:ascii="Bell MT" w:cs="Bell MT" w:eastAsia="Bell MT" w:hAnsi="Bell MT"/>
            <w:b/>
            <w:bCs/>
            <w:color w:val="2D685A"/>
            <w:sz w:val="20"/>
            <w:szCs w:val="20"/>
          </w:rPr>
          <w:t xml:space="preserve">04   </w:t>
        </w:r>
        <w:r>
          <w:rPr>
            <w:rFonts w:ascii="Bell MT" w:cs="Bell MT" w:eastAsia="Bell MT" w:hAnsi="Bell MT"/>
            <w:color w:val="1B443A"/>
            <w:sz w:val="20"/>
            <w:szCs w:val="20"/>
          </w:rPr>
          <w:t xml:space="preserve">Key Focus Areas</w:t>
        </w:r>
      </w:hyperlink>
    </w:p>
    <w:p>
      <w:pPr>
        <w:pBdr>
          <w:bottom w:val="dotted" w:color="CFE0D9" w:sz="3" w:space="1"/>
        </w:pBdr>
        <w:spacing w:after="95" w:before="60"/>
      </w:pPr>
      <w:hyperlink w:history="1" w:anchor="standard-qualitative">
        <w:r>
          <w:rPr>
            <w:rFonts w:ascii="Bell MT" w:cs="Bell MT" w:eastAsia="Bell MT" w:hAnsi="Bell MT"/>
            <w:b/>
            <w:bCs/>
            <w:color w:val="2D685A"/>
            <w:sz w:val="20"/>
            <w:szCs w:val="20"/>
          </w:rPr>
          <w:t xml:space="preserve">05   </w:t>
        </w:r>
        <w:r>
          <w:rPr>
            <w:rFonts w:ascii="Bell MT" w:cs="Bell MT" w:eastAsia="Bell MT" w:hAnsi="Bell MT"/>
            <w:color w:val="1B443A"/>
            <w:sz w:val="20"/>
            <w:szCs w:val="20"/>
          </w:rPr>
          <w:t xml:space="preserve">Qualitative Objectives</w:t>
        </w:r>
      </w:hyperlink>
    </w:p>
    <w:p>
      <w:pPr>
        <w:pBdr>
          <w:bottom w:val="dotted" w:color="CFE0D9" w:sz="3" w:space="1"/>
        </w:pBdr>
        <w:spacing w:after="95" w:before="60"/>
      </w:pPr>
      <w:hyperlink w:history="1" w:anchor="standard-quantitative">
        <w:r>
          <w:rPr>
            <w:rFonts w:ascii="Bell MT" w:cs="Bell MT" w:eastAsia="Bell MT" w:hAnsi="Bell MT"/>
            <w:b/>
            <w:bCs/>
            <w:color w:val="2D685A"/>
            <w:sz w:val="20"/>
            <w:szCs w:val="20"/>
          </w:rPr>
          <w:t xml:space="preserve">06   </w:t>
        </w:r>
        <w:r>
          <w:rPr>
            <w:rFonts w:ascii="Bell MT" w:cs="Bell MT" w:eastAsia="Bell MT" w:hAnsi="Bell MT"/>
            <w:color w:val="1B443A"/>
            <w:sz w:val="20"/>
            <w:szCs w:val="20"/>
          </w:rPr>
          <w:t xml:space="preserve">Quantitative Targets</w:t>
        </w:r>
      </w:hyperlink>
    </w:p>
    <w:p>
      <w:pPr>
        <w:pBdr>
          <w:bottom w:val="dotted" w:color="CFE0D9" w:sz="3" w:space="1"/>
        </w:pBdr>
        <w:spacing w:after="95" w:before="60"/>
      </w:pPr>
      <w:hyperlink w:history="1" w:anchor="standard-sdg">
        <w:r>
          <w:rPr>
            <w:rFonts w:ascii="Bell MT" w:cs="Bell MT" w:eastAsia="Bell MT" w:hAnsi="Bell MT"/>
            <w:b/>
            <w:bCs/>
            <w:color w:val="2D685A"/>
            <w:sz w:val="20"/>
            <w:szCs w:val="20"/>
          </w:rPr>
          <w:t xml:space="preserve">07   </w:t>
        </w:r>
        <w:r>
          <w:rPr>
            <w:rFonts w:ascii="Bell MT" w:cs="Bell MT" w:eastAsia="Bell MT" w:hAnsi="Bell MT"/>
            <w:color w:val="1B443A"/>
            <w:sz w:val="20"/>
            <w:szCs w:val="20"/>
          </w:rPr>
          <w:t xml:space="preserve">SDG Alignment</w:t>
        </w:r>
      </w:hyperlink>
    </w:p>
    <w:p>
      <w:pPr>
        <w:pBdr>
          <w:bottom w:val="dotted" w:color="CFE0D9" w:sz="3" w:space="1"/>
        </w:pBdr>
        <w:spacing w:after="95" w:before="60"/>
      </w:pPr>
      <w:hyperlink w:history="1" w:anchor="standard-responsibilities">
        <w:r>
          <w:rPr>
            <w:rFonts w:ascii="Bell MT" w:cs="Bell MT" w:eastAsia="Bell MT" w:hAnsi="Bell MT"/>
            <w:b/>
            <w:bCs/>
            <w:color w:val="2D685A"/>
            <w:sz w:val="20"/>
            <w:szCs w:val="20"/>
          </w:rPr>
          <w:t xml:space="preserve">08   </w:t>
        </w:r>
        <w:r>
          <w:rPr>
            <w:rFonts w:ascii="Bell MT" w:cs="Bell MT" w:eastAsia="Bell MT" w:hAnsi="Bell MT"/>
            <w:color w:val="1B443A"/>
            <w:sz w:val="20"/>
            <w:szCs w:val="20"/>
          </w:rPr>
          <w:t xml:space="preserve">Roles &amp; Responsibilities</w:t>
        </w:r>
      </w:hyperlink>
    </w:p>
    <w:p>
      <w:pPr>
        <w:pBdr>
          <w:bottom w:val="dotted" w:color="CFE0D9" w:sz="3" w:space="1"/>
        </w:pBdr>
        <w:spacing w:after="95" w:before="60"/>
      </w:pPr>
      <w:hyperlink w:history="1" w:anchor="standard-monitoring">
        <w:r>
          <w:rPr>
            <w:rFonts w:ascii="Bell MT" w:cs="Bell MT" w:eastAsia="Bell MT" w:hAnsi="Bell MT"/>
            <w:b/>
            <w:bCs/>
            <w:color w:val="2D685A"/>
            <w:sz w:val="20"/>
            <w:szCs w:val="20"/>
          </w:rPr>
          <w:t xml:space="preserve">09   </w:t>
        </w:r>
        <w:r>
          <w:rPr>
            <w:rFonts w:ascii="Bell MT" w:cs="Bell MT" w:eastAsia="Bell MT" w:hAnsi="Bell MT"/>
            <w:color w:val="1B443A"/>
            <w:sz w:val="20"/>
            <w:szCs w:val="20"/>
          </w:rPr>
          <w:t xml:space="preserve">Monitoring, Reporting &amp; Transparency</w:t>
        </w:r>
      </w:hyperlink>
    </w:p>
    <w:p>
      <w:pPr>
        <w:pBdr>
          <w:bottom w:val="dotted" w:color="CFE0D9" w:sz="3" w:space="1"/>
        </w:pBdr>
        <w:spacing w:after="95" w:before="60"/>
      </w:pPr>
      <w:hyperlink w:history="1" w:anchor="standard-review">
        <w:r>
          <w:rPr>
            <w:rFonts w:ascii="Bell MT" w:cs="Bell MT" w:eastAsia="Bell MT" w:hAnsi="Bell MT"/>
            <w:b/>
            <w:bCs/>
            <w:color w:val="2D685A"/>
            <w:sz w:val="20"/>
            <w:szCs w:val="20"/>
          </w:rPr>
          <w:t xml:space="preserve">10   </w:t>
        </w:r>
        <w:r>
          <w:rPr>
            <w:rFonts w:ascii="Bell MT" w:cs="Bell MT" w:eastAsia="Bell MT" w:hAnsi="Bell MT"/>
            <w:color w:val="1B443A"/>
            <w:sz w:val="20"/>
            <w:szCs w:val="20"/>
          </w:rPr>
          <w:t xml:space="preserve">Review Mechanism &amp; Continuous Improvement</w:t>
        </w:r>
      </w:hyperlink>
    </w:p>
    <w:p>
      <w:r>
        <w:br w:type="page"/>
      </w:r>
    </w:p>
    <w:p>
      <w:pPr>
        <w:pStyle w:val="PolicyHeading"/>
        <w:pBdr>
          <w:bottom w:val="single" w:color="2D685A" w:sz="4" w:space="1"/>
        </w:pBdr>
        <w:spacing w:after="180" w:before="260"/>
        <w:jc w:val="left"/>
      </w:pPr>
      <w:bookmarkStart w:name="standard-preface" w:id="1"/>
      <w:bookmarkEnd w:id="1"/>
      <w:r>
        <w:rPr>
          <w:rFonts w:ascii="Bell MT" w:cs="Bell MT" w:eastAsia="Bell MT" w:hAnsi="Bell MT"/>
          <w:color w:val="64766E"/>
          <w:sz w:val="20"/>
          <w:szCs w:val="20"/>
        </w:rPr>
        <w:t xml:space="preserve">01   </w:t>
      </w:r>
      <w:r>
        <w:rPr>
          <w:rFonts w:ascii="Bell MT" w:cs="Bell MT" w:eastAsia="Bell MT" w:hAnsi="Bell MT"/>
          <w:b/>
          <w:bCs/>
          <w:color w:val="1B443A"/>
          <w:sz w:val="34"/>
          <w:szCs w:val="34"/>
        </w:rPr>
        <w:t xml:space="preserve">Preface</w:t>
      </w:r>
    </w:p>
    <w:p>
      <w:pPr>
        <w:pStyle w:val="PolicyBody"/>
        <w:spacing w:after="150" w:line="348"/>
        <w:jc w:val="both"/>
      </w:pPr>
      <w:r>
        <w:rPr>
          <w:rFonts w:ascii="Bell MT" w:cs="Bell MT" w:eastAsia="Bell MT" w:hAnsi="Bell MT"/>
          <w:sz w:val="22"/>
          <w:szCs w:val="22"/>
        </w:rPr>
        <w:t xml:space="preserve">Ethics Policy provides a consistent framework for Acme Specialty Chemicals Pvt. Ltd. to define responsibilities, make decisions, and review performance across its activities and locations.</w:t>
      </w:r>
    </w:p>
    <w:p>
      <w:pPr>
        <w:spacing w:before="165"/>
      </w:pPr>
      <w:r>
        <w:rPr>
          <w:sz w:val="2"/>
          <w:szCs w:val="2"/>
        </w:rPr>
        <w:t xml:space="preserve"> </w:t>
      </w:r>
    </w:p>
    <w:p>
      <w:pPr>
        <w:pStyle w:val="PolicyHeading"/>
        <w:pBdr>
          <w:bottom w:val="single" w:color="2D685A" w:sz="4" w:space="1"/>
        </w:pBdr>
        <w:spacing w:after="180" w:before="260"/>
        <w:jc w:val="left"/>
      </w:pPr>
      <w:bookmarkStart w:name="standard-declaration" w:id="1"/>
      <w:bookmarkEnd w:id="1"/>
      <w:r>
        <w:rPr>
          <w:rFonts w:ascii="Bell MT" w:cs="Bell MT" w:eastAsia="Bell MT" w:hAnsi="Bell MT"/>
          <w:color w:val="64766E"/>
          <w:sz w:val="20"/>
          <w:szCs w:val="20"/>
        </w:rPr>
        <w:t xml:space="preserve">02   </w:t>
      </w:r>
      <w:r>
        <w:rPr>
          <w:rFonts w:ascii="Bell MT" w:cs="Bell MT" w:eastAsia="Bell MT" w:hAnsi="Bell MT"/>
          <w:b/>
          <w:bCs/>
          <w:color w:val="1B443A"/>
          <w:sz w:val="34"/>
          <w:szCs w:val="34"/>
        </w:rPr>
        <w:t xml:space="preserve">Policy Declaration</w:t>
      </w:r>
    </w:p>
    <w:p>
      <w:pPr>
        <w:pStyle w:val="PolicyBody"/>
        <w:spacing w:after="150" w:line="348"/>
        <w:jc w:val="both"/>
      </w:pPr>
      <w:r>
        <w:rPr>
          <w:rFonts w:ascii="Bell MT" w:cs="Bell MT" w:eastAsia="Bell MT" w:hAnsi="Bell MT"/>
          <w:sz w:val="22"/>
          <w:szCs w:val="22"/>
        </w:rPr>
        <w:t xml:space="preserve">Acme Specialty Chemicals affirms its commitment to implementing this Ethics Policy in line with applicable requirements, proportionate controls, and regular management review.</w:t>
      </w:r>
    </w:p>
    <w:p>
      <w:pPr>
        <w:spacing w:before="165"/>
      </w:pPr>
      <w:r>
        <w:rPr>
          <w:sz w:val="2"/>
          <w:szCs w:val="2"/>
        </w:rPr>
        <w:t xml:space="preserve"> </w:t>
      </w:r>
    </w:p>
    <w:p>
      <w:pPr>
        <w:pStyle w:val="PolicyHeading"/>
        <w:pBdr>
          <w:bottom w:val="single" w:color="2D685A" w:sz="4" w:space="1"/>
        </w:pBdr>
        <w:spacing w:after="180" w:before="260"/>
        <w:jc w:val="left"/>
      </w:pPr>
      <w:bookmarkStart w:name="standard-scope" w:id="1"/>
      <w:bookmarkEnd w:id="1"/>
      <w:r>
        <w:rPr>
          <w:rFonts w:ascii="Bell MT" w:cs="Bell MT" w:eastAsia="Bell MT" w:hAnsi="Bell MT"/>
          <w:color w:val="64766E"/>
          <w:sz w:val="20"/>
          <w:szCs w:val="20"/>
        </w:rPr>
        <w:t xml:space="preserve">03   </w:t>
      </w:r>
      <w:r>
        <w:rPr>
          <w:rFonts w:ascii="Bell MT" w:cs="Bell MT" w:eastAsia="Bell MT" w:hAnsi="Bell MT"/>
          <w:b/>
          <w:bCs/>
          <w:color w:val="1B443A"/>
          <w:sz w:val="34"/>
          <w:szCs w:val="34"/>
        </w:rPr>
        <w:t xml:space="preserve">Scope</w:t>
      </w:r>
    </w:p>
    <w:p>
      <w:pPr>
        <w:pStyle w:val="PolicyBody"/>
        <w:spacing w:after="150" w:line="348"/>
        <w:jc w:val="both"/>
      </w:pPr>
      <w:r>
        <w:rPr>
          <w:rFonts w:ascii="Bell MT" w:cs="Bell MT" w:eastAsia="Bell MT" w:hAnsi="Bell MT"/>
          <w:sz w:val="22"/>
          <w:szCs w:val="22"/>
        </w:rPr>
        <w:t xml:space="preserve">This Ethics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CFE0D9" w:sz="5" w:space="1"/>
              <w:left w:val="single" w:color="CFE0D9" w:sz="5" w:space="1"/>
              <w:bottom w:val="single" w:color="CFE0D9" w:sz="5" w:space="1"/>
              <w:right w:val="single" w:color="CFE0D9" w:sz="5" w:space="1"/>
            </w:tcBorders>
            <w:shd w:fill="2D685A" w:color="2D685A" w:val="solid"/>
            <w:tcMar>
              <w:top w:type="dxa" w:w="120"/>
              <w:left w:type="dxa" w:w="120"/>
              <w:bottom w:type="dxa" w:w="120"/>
              <w:right w:type="dxa" w:w="120"/>
            </w:tcMar>
            <w:vAlign w:val="center"/>
          </w:tcPr>
          <w:p>
            <w:r>
              <w:rPr>
                <w:b/>
                <w:bCs/>
                <w:color w:val="FFFFFF"/>
                <w:sz w:val="17"/>
                <w:szCs w:val="17"/>
              </w:rPr>
              <w:t xml:space="preserve">Location / Unit</w:t>
            </w:r>
          </w:p>
        </w:tc>
        <w:tc>
          <w:tcPr>
            <w:tcW w:type="dxa" w:w="4750"/>
            <w:tcBorders>
              <w:top w:val="single" w:color="CFE0D9" w:sz="5" w:space="1"/>
              <w:left w:val="single" w:color="CFE0D9" w:sz="5" w:space="1"/>
              <w:bottom w:val="single" w:color="CFE0D9" w:sz="5" w:space="1"/>
              <w:right w:val="single" w:color="CFE0D9" w:sz="5" w:space="1"/>
            </w:tcBorders>
            <w:shd w:fill="2D685A" w:color="2D685A" w:val="solid"/>
            <w:tcMar>
              <w:top w:type="dxa" w:w="120"/>
              <w:left w:type="dxa" w:w="120"/>
              <w:bottom w:type="dxa" w:w="120"/>
              <w:right w:type="dxa" w:w="120"/>
            </w:tcMar>
            <w:vAlign w:val="center"/>
          </w:tcPr>
          <w:p>
            <w:r>
              <w:rPr>
                <w:b/>
                <w:bCs/>
                <w:color w:val="FFFFFF"/>
                <w:sz w:val="17"/>
                <w:szCs w:val="17"/>
              </w:rPr>
              <w:t xml:space="preserve">Address</w:t>
            </w:r>
          </w:p>
        </w:tc>
        <w:tc>
          <w:tcPr>
            <w:tcW w:type="dxa" w:w="2382"/>
            <w:tcBorders>
              <w:top w:val="single" w:color="CFE0D9" w:sz="5" w:space="1"/>
              <w:left w:val="single" w:color="CFE0D9" w:sz="5" w:space="1"/>
              <w:bottom w:val="single" w:color="CFE0D9" w:sz="5" w:space="1"/>
              <w:right w:val="single" w:color="CFE0D9" w:sz="5" w:space="1"/>
            </w:tcBorders>
            <w:shd w:fill="2D685A" w:color="2D685A"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280"/>
            <w:tcBorders>
              <w:top w:val="single" w:color="CFE0D9" w:sz="5" w:space="1"/>
              <w:left w:val="single" w:color="CFE0D9" w:sz="5" w:space="1"/>
              <w:bottom w:val="single" w:color="CFE0D9" w:sz="5" w:space="1"/>
              <w:right w:val="single" w:color="CFE0D9"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CFE0D9" w:sz="5" w:space="1"/>
              <w:left w:val="single" w:color="CFE0D9" w:sz="5" w:space="1"/>
              <w:bottom w:val="single" w:color="CFE0D9" w:sz="5" w:space="1"/>
              <w:right w:val="single" w:color="CFE0D9"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CFE0D9" w:sz="5" w:space="1"/>
              <w:left w:val="single" w:color="CFE0D9" w:sz="5" w:space="1"/>
              <w:bottom w:val="single" w:color="CFE0D9" w:sz="5" w:space="1"/>
              <w:right w:val="single" w:color="CFE0D9"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65"/>
      </w:pPr>
      <w:r>
        <w:rPr>
          <w:sz w:val="2"/>
          <w:szCs w:val="2"/>
        </w:rPr>
        <w:t xml:space="preserve"> </w:t>
      </w:r>
    </w:p>
    <w:p>
      <w:pPr>
        <w:pStyle w:val="PolicyHeading"/>
        <w:pBdr>
          <w:bottom w:val="single" w:color="2D685A" w:sz="4" w:space="1"/>
        </w:pBdr>
        <w:spacing w:after="180" w:before="260"/>
        <w:jc w:val="left"/>
      </w:pPr>
      <w:bookmarkStart w:name="standard-focus" w:id="1"/>
      <w:bookmarkEnd w:id="1"/>
      <w:r>
        <w:rPr>
          <w:rFonts w:ascii="Bell MT" w:cs="Bell MT" w:eastAsia="Bell MT" w:hAnsi="Bell MT"/>
          <w:color w:val="64766E"/>
          <w:sz w:val="20"/>
          <w:szCs w:val="20"/>
        </w:rPr>
        <w:t xml:space="preserve">04   </w:t>
      </w:r>
      <w:r>
        <w:rPr>
          <w:rFonts w:ascii="Bell MT" w:cs="Bell MT" w:eastAsia="Bell MT" w:hAnsi="Bell MT"/>
          <w:b/>
          <w:bCs/>
          <w:color w:val="1B443A"/>
          <w:sz w:val="34"/>
          <w:szCs w:val="34"/>
        </w:rPr>
        <w:t xml:space="preserve">Key Focus Areas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01</w:t>
            </w:r>
            <w:r>
              <w:rPr>
                <w:rFonts w:ascii="Bell MT" w:cs="Bell MT" w:eastAsia="Bell MT" w:hAnsi="Bell MT"/>
                <w:b/>
                <w:bCs/>
                <w:color w:val="1D2925"/>
                <w:sz w:val="26"/>
                <w:szCs w:val="26"/>
              </w:rPr>
              <w:t xml:space="preserve">  Anti-Corruption &amp; Anti-Bribery</w:t>
            </w:r>
          </w:p>
        </w:tc>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02</w:t>
            </w:r>
            <w:r>
              <w:rPr>
                <w:rFonts w:ascii="Bell MT" w:cs="Bell MT" w:eastAsia="Bell MT" w:hAnsi="Bell MT"/>
                <w:b/>
                <w:bCs/>
                <w:color w:val="1D2925"/>
                <w:sz w:val="26"/>
                <w:szCs w:val="26"/>
              </w:rPr>
              <w:t xml:space="preserve">  Conflicts of Interest</w:t>
            </w:r>
          </w:p>
        </w:tc>
      </w:tr>
      <w:tr>
        <w:trPr>
          <w:cantSplit/>
        </w:trPr>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03</w:t>
            </w:r>
            <w:r>
              <w:rPr>
                <w:rFonts w:ascii="Bell MT" w:cs="Bell MT" w:eastAsia="Bell MT" w:hAnsi="Bell MT"/>
                <w:b/>
                <w:bCs/>
                <w:color w:val="1D2925"/>
                <w:sz w:val="26"/>
                <w:szCs w:val="26"/>
              </w:rPr>
              <w:t xml:space="preserve">  Data Privacy &amp; Confidentiality</w:t>
            </w:r>
          </w:p>
        </w:tc>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04</w:t>
            </w:r>
            <w:r>
              <w:rPr>
                <w:rFonts w:ascii="Bell MT" w:cs="Bell MT" w:eastAsia="Bell MT" w:hAnsi="Bell MT"/>
                <w:b/>
                <w:bCs/>
                <w:color w:val="1D2925"/>
                <w:sz w:val="26"/>
                <w:szCs w:val="26"/>
              </w:rPr>
              <w:t xml:space="preserve">  Gifts &amp; Hospitality</w:t>
            </w:r>
          </w:p>
        </w:tc>
      </w:tr>
      <w:tr>
        <w:trPr>
          <w:cantSplit/>
        </w:trPr>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05</w:t>
            </w:r>
            <w:r>
              <w:rPr>
                <w:rFonts w:ascii="Bell MT" w:cs="Bell MT" w:eastAsia="Bell MT" w:hAnsi="Bell MT"/>
                <w:b/>
                <w:bCs/>
                <w:color w:val="1D2925"/>
                <w:sz w:val="26"/>
                <w:szCs w:val="26"/>
              </w:rPr>
              <w:t xml:space="preserve">  Whistleblowing &amp; Speak-Up</w:t>
            </w:r>
          </w:p>
        </w:tc>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r>
              <w:t xml:space="preserve"/>
            </w:r>
          </w:p>
        </w:tc>
      </w:tr>
    </w:tbl>
    <w:p>
      <w:pPr>
        <w:spacing w:before="165"/>
      </w:pPr>
      <w:r>
        <w:rPr>
          <w:sz w:val="2"/>
          <w:szCs w:val="2"/>
        </w:rPr>
        <w:t xml:space="preserve"> </w:t>
      </w:r>
    </w:p>
    <w:p>
      <w:pPr>
        <w:pStyle w:val="PolicyHeading"/>
        <w:pBdr>
          <w:bottom w:val="single" w:color="2D685A" w:sz="4" w:space="1"/>
        </w:pBdr>
        <w:spacing w:after="180" w:before="260"/>
        <w:jc w:val="left"/>
      </w:pPr>
      <w:bookmarkStart w:name="standard-qualitative" w:id="1"/>
      <w:bookmarkEnd w:id="1"/>
      <w:r>
        <w:rPr>
          <w:rFonts w:ascii="Bell MT" w:cs="Bell MT" w:eastAsia="Bell MT" w:hAnsi="Bell MT"/>
          <w:color w:val="64766E"/>
          <w:sz w:val="20"/>
          <w:szCs w:val="20"/>
        </w:rPr>
        <w:t xml:space="preserve">05   </w:t>
      </w:r>
      <w:r>
        <w:rPr>
          <w:rFonts w:ascii="Bell MT" w:cs="Bell MT" w:eastAsia="Bell MT" w:hAnsi="Bell MT"/>
          <w:b/>
          <w:bCs/>
          <w:color w:val="1B443A"/>
          <w:sz w:val="34"/>
          <w:szCs w:val="34"/>
        </w:rPr>
        <w:t xml:space="preserve">Qualitative Objectives</w:t>
      </w:r>
    </w:p>
    <w:p>
      <w:pPr>
        <w:spacing w:after="90"/>
      </w:pPr>
      <w:r>
        <w:rPr>
          <w:rFonts w:ascii="Bell MT" w:cs="Bell MT" w:eastAsia="Bell MT" w:hAnsi="Bell MT"/>
          <w:b/>
          <w:bCs/>
          <w:color w:val="2D685A"/>
          <w:sz w:val="18"/>
          <w:szCs w:val="18"/>
        </w:rPr>
        <w:t xml:space="preserve">01  </w:t>
      </w:r>
      <w:r>
        <w:rPr>
          <w:rFonts w:ascii="Bell MT" w:cs="Bell MT" w:eastAsia="Bell MT" w:hAnsi="Bell MT"/>
          <w:b/>
          <w:bCs/>
          <w:color w:val="1B443A"/>
          <w:sz w:val="26"/>
          <w:szCs w:val="26"/>
        </w:rPr>
        <w:t xml:space="preserve">Anti-Corruption &amp; Anti-Bribery</w:t>
      </w:r>
    </w:p>
    <w:p>
      <w:pPr>
        <w:pStyle w:val="PolicyBody"/>
        <w:numPr>
          <w:ilvl w:val="0"/>
          <w:numId w:val="2"/>
        </w:numPr>
        <w:spacing w:after="90" w:line="348"/>
      </w:pPr>
      <w:r>
        <w:rPr>
          <w:rFonts w:ascii="Bell MT" w:cs="Bell MT" w:eastAsia="Bell MT" w:hAnsi="Bell MT"/>
          <w:color w:val="1D2925"/>
          <w:sz w:val="22"/>
          <w:szCs w:val="22"/>
        </w:rPr>
        <w:t xml:space="preserve">Assign accountable ownership and approved procedures for anti-corruption &amp; anti-bribery.</w:t>
      </w:r>
    </w:p>
    <w:p>
      <w:pPr>
        <w:pStyle w:val="PolicyBody"/>
        <w:numPr>
          <w:ilvl w:val="0"/>
          <w:numId w:val="2"/>
        </w:numPr>
        <w:spacing w:after="90" w:line="348"/>
      </w:pPr>
      <w:r>
        <w:rPr>
          <w:rFonts w:ascii="Bell MT" w:cs="Bell MT" w:eastAsia="Bell MT" w:hAnsi="Bell MT"/>
          <w:color w:val="1D2925"/>
          <w:sz w:val="22"/>
          <w:szCs w:val="22"/>
        </w:rPr>
        <w:t xml:space="preserve">Identify material risks and improvement opportunities related to anti-corruption &amp; anti-bribery.</w:t>
      </w:r>
    </w:p>
    <w:p>
      <w:pPr>
        <w:pStyle w:val="PolicyBody"/>
        <w:numPr>
          <w:ilvl w:val="0"/>
          <w:numId w:val="2"/>
        </w:numPr>
        <w:spacing w:after="90" w:line="348"/>
      </w:pPr>
      <w:r>
        <w:rPr>
          <w:rFonts w:ascii="Bell MT" w:cs="Bell MT" w:eastAsia="Bell MT" w:hAnsi="Bell MT"/>
          <w:color w:val="1D2925"/>
          <w:sz w:val="22"/>
          <w:szCs w:val="22"/>
        </w:rPr>
        <w:t xml:space="preserve">Define measures, evidence sources and review frequency for anti-corruption &amp; anti-bribery.</w:t>
      </w:r>
    </w:p>
    <w:p>
      <w:pPr>
        <w:spacing w:before="70"/>
      </w:pPr>
      <w:r>
        <w:rPr>
          <w:sz w:val="2"/>
          <w:szCs w:val="2"/>
        </w:rPr>
        <w:t xml:space="preserve"> </w:t>
      </w:r>
    </w:p>
    <w:p>
      <w:pPr>
        <w:spacing w:after="90"/>
      </w:pPr>
      <w:r>
        <w:rPr>
          <w:rFonts w:ascii="Bell MT" w:cs="Bell MT" w:eastAsia="Bell MT" w:hAnsi="Bell MT"/>
          <w:b/>
          <w:bCs/>
          <w:color w:val="2D685A"/>
          <w:sz w:val="18"/>
          <w:szCs w:val="18"/>
        </w:rPr>
        <w:t xml:space="preserve">02  </w:t>
      </w:r>
      <w:r>
        <w:rPr>
          <w:rFonts w:ascii="Bell MT" w:cs="Bell MT" w:eastAsia="Bell MT" w:hAnsi="Bell MT"/>
          <w:b/>
          <w:bCs/>
          <w:color w:val="1B443A"/>
          <w:sz w:val="26"/>
          <w:szCs w:val="26"/>
        </w:rPr>
        <w:t xml:space="preserve">Conflicts of Interest</w:t>
      </w:r>
    </w:p>
    <w:p>
      <w:pPr>
        <w:pStyle w:val="PolicyBody"/>
        <w:numPr>
          <w:ilvl w:val="0"/>
          <w:numId w:val="2"/>
        </w:numPr>
        <w:spacing w:after="90" w:line="348"/>
      </w:pPr>
      <w:r>
        <w:rPr>
          <w:rFonts w:ascii="Bell MT" w:cs="Bell MT" w:eastAsia="Bell MT" w:hAnsi="Bell MT"/>
          <w:color w:val="1D2925"/>
          <w:sz w:val="22"/>
          <w:szCs w:val="22"/>
        </w:rPr>
        <w:t xml:space="preserve">Assign accountable ownership and approved procedures for conflicts of interest.</w:t>
      </w:r>
    </w:p>
    <w:p>
      <w:pPr>
        <w:pStyle w:val="PolicyBody"/>
        <w:numPr>
          <w:ilvl w:val="0"/>
          <w:numId w:val="2"/>
        </w:numPr>
        <w:spacing w:after="90" w:line="348"/>
      </w:pPr>
      <w:r>
        <w:rPr>
          <w:rFonts w:ascii="Bell MT" w:cs="Bell MT" w:eastAsia="Bell MT" w:hAnsi="Bell MT"/>
          <w:color w:val="1D2925"/>
          <w:sz w:val="22"/>
          <w:szCs w:val="22"/>
        </w:rPr>
        <w:t xml:space="preserve">Identify material risks and improvement opportunities related to conflicts of interest.</w:t>
      </w:r>
    </w:p>
    <w:p>
      <w:pPr>
        <w:pStyle w:val="PolicyBody"/>
        <w:numPr>
          <w:ilvl w:val="0"/>
          <w:numId w:val="2"/>
        </w:numPr>
        <w:spacing w:after="90" w:line="348"/>
      </w:pPr>
      <w:r>
        <w:rPr>
          <w:rFonts w:ascii="Bell MT" w:cs="Bell MT" w:eastAsia="Bell MT" w:hAnsi="Bell MT"/>
          <w:color w:val="1D2925"/>
          <w:sz w:val="22"/>
          <w:szCs w:val="22"/>
        </w:rPr>
        <w:t xml:space="preserve">Define measures, evidence sources and review frequency for conflicts of interest.</w:t>
      </w:r>
    </w:p>
    <w:p>
      <w:pPr>
        <w:spacing w:before="70"/>
      </w:pPr>
      <w:r>
        <w:rPr>
          <w:sz w:val="2"/>
          <w:szCs w:val="2"/>
        </w:rPr>
        <w:t xml:space="preserve"> </w:t>
      </w:r>
    </w:p>
    <w:p>
      <w:pPr>
        <w:spacing w:after="90"/>
      </w:pPr>
      <w:r>
        <w:rPr>
          <w:rFonts w:ascii="Bell MT" w:cs="Bell MT" w:eastAsia="Bell MT" w:hAnsi="Bell MT"/>
          <w:b/>
          <w:bCs/>
          <w:color w:val="2D685A"/>
          <w:sz w:val="18"/>
          <w:szCs w:val="18"/>
        </w:rPr>
        <w:t xml:space="preserve">03  </w:t>
      </w:r>
      <w:r>
        <w:rPr>
          <w:rFonts w:ascii="Bell MT" w:cs="Bell MT" w:eastAsia="Bell MT" w:hAnsi="Bell MT"/>
          <w:b/>
          <w:bCs/>
          <w:color w:val="1B443A"/>
          <w:sz w:val="26"/>
          <w:szCs w:val="26"/>
        </w:rPr>
        <w:t xml:space="preserve">Data Privacy &amp; Confidentiality</w:t>
      </w:r>
    </w:p>
    <w:p>
      <w:pPr>
        <w:pStyle w:val="PolicyBody"/>
        <w:numPr>
          <w:ilvl w:val="0"/>
          <w:numId w:val="2"/>
        </w:numPr>
        <w:spacing w:after="90" w:line="348"/>
      </w:pPr>
      <w:r>
        <w:rPr>
          <w:rFonts w:ascii="Bell MT" w:cs="Bell MT" w:eastAsia="Bell MT" w:hAnsi="Bell MT"/>
          <w:color w:val="1D2925"/>
          <w:sz w:val="22"/>
          <w:szCs w:val="22"/>
        </w:rPr>
        <w:t xml:space="preserve">Assign accountable ownership and approved procedures for data privacy &amp; confidentiality.</w:t>
      </w:r>
    </w:p>
    <w:p>
      <w:pPr>
        <w:pStyle w:val="PolicyBody"/>
        <w:numPr>
          <w:ilvl w:val="0"/>
          <w:numId w:val="2"/>
        </w:numPr>
        <w:spacing w:after="90" w:line="348"/>
      </w:pPr>
      <w:r>
        <w:rPr>
          <w:rFonts w:ascii="Bell MT" w:cs="Bell MT" w:eastAsia="Bell MT" w:hAnsi="Bell MT"/>
          <w:color w:val="1D2925"/>
          <w:sz w:val="22"/>
          <w:szCs w:val="22"/>
        </w:rPr>
        <w:t xml:space="preserve">Identify material risks and improvement opportunities related to data privacy &amp; confidentiality.</w:t>
      </w:r>
    </w:p>
    <w:p>
      <w:pPr>
        <w:pStyle w:val="PolicyBody"/>
        <w:numPr>
          <w:ilvl w:val="0"/>
          <w:numId w:val="2"/>
        </w:numPr>
        <w:spacing w:after="90" w:line="348"/>
      </w:pPr>
      <w:r>
        <w:rPr>
          <w:rFonts w:ascii="Bell MT" w:cs="Bell MT" w:eastAsia="Bell MT" w:hAnsi="Bell MT"/>
          <w:color w:val="1D2925"/>
          <w:sz w:val="22"/>
          <w:szCs w:val="22"/>
        </w:rPr>
        <w:t xml:space="preserve">Define measures, evidence sources and review frequency for data privacy &amp; confidentiality.</w:t>
      </w:r>
    </w:p>
    <w:p>
      <w:pPr>
        <w:spacing w:before="70"/>
      </w:pPr>
      <w:r>
        <w:rPr>
          <w:sz w:val="2"/>
          <w:szCs w:val="2"/>
        </w:rPr>
        <w:t xml:space="preserve"> </w:t>
      </w:r>
    </w:p>
    <w:p>
      <w:pPr>
        <w:spacing w:after="90"/>
      </w:pPr>
      <w:r>
        <w:rPr>
          <w:rFonts w:ascii="Bell MT" w:cs="Bell MT" w:eastAsia="Bell MT" w:hAnsi="Bell MT"/>
          <w:b/>
          <w:bCs/>
          <w:color w:val="2D685A"/>
          <w:sz w:val="18"/>
          <w:szCs w:val="18"/>
        </w:rPr>
        <w:t xml:space="preserve">04  </w:t>
      </w:r>
      <w:r>
        <w:rPr>
          <w:rFonts w:ascii="Bell MT" w:cs="Bell MT" w:eastAsia="Bell MT" w:hAnsi="Bell MT"/>
          <w:b/>
          <w:bCs/>
          <w:color w:val="1B443A"/>
          <w:sz w:val="26"/>
          <w:szCs w:val="26"/>
        </w:rPr>
        <w:t xml:space="preserve">Gifts &amp; Hospitality</w:t>
      </w:r>
    </w:p>
    <w:p>
      <w:pPr>
        <w:pStyle w:val="PolicyBody"/>
        <w:numPr>
          <w:ilvl w:val="0"/>
          <w:numId w:val="2"/>
        </w:numPr>
        <w:spacing w:after="90" w:line="348"/>
      </w:pPr>
      <w:r>
        <w:rPr>
          <w:rFonts w:ascii="Bell MT" w:cs="Bell MT" w:eastAsia="Bell MT" w:hAnsi="Bell MT"/>
          <w:color w:val="1D2925"/>
          <w:sz w:val="22"/>
          <w:szCs w:val="22"/>
        </w:rPr>
        <w:t xml:space="preserve">Assign accountable ownership and approved procedures for gifts &amp; hospitality.</w:t>
      </w:r>
    </w:p>
    <w:p>
      <w:pPr>
        <w:pStyle w:val="PolicyBody"/>
        <w:numPr>
          <w:ilvl w:val="0"/>
          <w:numId w:val="2"/>
        </w:numPr>
        <w:spacing w:after="90" w:line="348"/>
      </w:pPr>
      <w:r>
        <w:rPr>
          <w:rFonts w:ascii="Bell MT" w:cs="Bell MT" w:eastAsia="Bell MT" w:hAnsi="Bell MT"/>
          <w:color w:val="1D2925"/>
          <w:sz w:val="22"/>
          <w:szCs w:val="22"/>
        </w:rPr>
        <w:t xml:space="preserve">Identify material risks and improvement opportunities related to gifts &amp; hospitality.</w:t>
      </w:r>
    </w:p>
    <w:p>
      <w:pPr>
        <w:pStyle w:val="PolicyBody"/>
        <w:numPr>
          <w:ilvl w:val="0"/>
          <w:numId w:val="2"/>
        </w:numPr>
        <w:spacing w:after="90" w:line="348"/>
      </w:pPr>
      <w:r>
        <w:rPr>
          <w:rFonts w:ascii="Bell MT" w:cs="Bell MT" w:eastAsia="Bell MT" w:hAnsi="Bell MT"/>
          <w:color w:val="1D2925"/>
          <w:sz w:val="22"/>
          <w:szCs w:val="22"/>
        </w:rPr>
        <w:t xml:space="preserve">Define measures, evidence sources and review frequency for gifts &amp; hospitality.</w:t>
      </w:r>
    </w:p>
    <w:p>
      <w:pPr>
        <w:spacing w:before="70"/>
      </w:pPr>
      <w:r>
        <w:rPr>
          <w:sz w:val="2"/>
          <w:szCs w:val="2"/>
        </w:rPr>
        <w:t xml:space="preserve"> </w:t>
      </w:r>
    </w:p>
    <w:p>
      <w:pPr>
        <w:spacing w:after="90"/>
      </w:pPr>
      <w:r>
        <w:rPr>
          <w:rFonts w:ascii="Bell MT" w:cs="Bell MT" w:eastAsia="Bell MT" w:hAnsi="Bell MT"/>
          <w:b/>
          <w:bCs/>
          <w:color w:val="2D685A"/>
          <w:sz w:val="18"/>
          <w:szCs w:val="18"/>
        </w:rPr>
        <w:t xml:space="preserve">05  </w:t>
      </w:r>
      <w:r>
        <w:rPr>
          <w:rFonts w:ascii="Bell MT" w:cs="Bell MT" w:eastAsia="Bell MT" w:hAnsi="Bell MT"/>
          <w:b/>
          <w:bCs/>
          <w:color w:val="1B443A"/>
          <w:sz w:val="26"/>
          <w:szCs w:val="26"/>
        </w:rPr>
        <w:t xml:space="preserve">Whistleblowing &amp; Speak-Up</w:t>
      </w:r>
    </w:p>
    <w:p>
      <w:pPr>
        <w:pStyle w:val="PolicyBody"/>
        <w:numPr>
          <w:ilvl w:val="0"/>
          <w:numId w:val="2"/>
        </w:numPr>
        <w:spacing w:after="90" w:line="348"/>
      </w:pPr>
      <w:r>
        <w:rPr>
          <w:rFonts w:ascii="Bell MT" w:cs="Bell MT" w:eastAsia="Bell MT" w:hAnsi="Bell MT"/>
          <w:color w:val="1D2925"/>
          <w:sz w:val="22"/>
          <w:szCs w:val="22"/>
        </w:rPr>
        <w:t xml:space="preserve">Assign accountable ownership and approved procedures for whistleblowing &amp; speak-up.</w:t>
      </w:r>
    </w:p>
    <w:p>
      <w:pPr>
        <w:pStyle w:val="PolicyBody"/>
        <w:numPr>
          <w:ilvl w:val="0"/>
          <w:numId w:val="2"/>
        </w:numPr>
        <w:spacing w:after="90" w:line="348"/>
      </w:pPr>
      <w:r>
        <w:rPr>
          <w:rFonts w:ascii="Bell MT" w:cs="Bell MT" w:eastAsia="Bell MT" w:hAnsi="Bell MT"/>
          <w:color w:val="1D2925"/>
          <w:sz w:val="22"/>
          <w:szCs w:val="22"/>
        </w:rPr>
        <w:t xml:space="preserve">Identify material risks and improvement opportunities related to whistleblowing &amp; speak-up.</w:t>
      </w:r>
    </w:p>
    <w:p>
      <w:pPr>
        <w:pStyle w:val="PolicyBody"/>
        <w:numPr>
          <w:ilvl w:val="0"/>
          <w:numId w:val="2"/>
        </w:numPr>
        <w:spacing w:after="90" w:line="348"/>
      </w:pPr>
      <w:r>
        <w:rPr>
          <w:rFonts w:ascii="Bell MT" w:cs="Bell MT" w:eastAsia="Bell MT" w:hAnsi="Bell MT"/>
          <w:color w:val="1D2925"/>
          <w:sz w:val="22"/>
          <w:szCs w:val="22"/>
        </w:rPr>
        <w:t xml:space="preserve">Define measures, evidence sources and review frequency for whistleblowing &amp; speak-up.</w:t>
      </w:r>
    </w:p>
    <w:p>
      <w:pPr>
        <w:spacing w:before="70"/>
      </w:pPr>
      <w:r>
        <w:rPr>
          <w:sz w:val="2"/>
          <w:szCs w:val="2"/>
        </w:rPr>
        <w:t xml:space="preserve"> </w:t>
      </w:r>
    </w:p>
    <w:p>
      <w:pPr>
        <w:spacing w:before="165"/>
      </w:pPr>
      <w:r>
        <w:rPr>
          <w:sz w:val="2"/>
          <w:szCs w:val="2"/>
        </w:rPr>
        <w:t xml:space="preserve"> </w:t>
      </w:r>
    </w:p>
    <w:p>
      <w:pPr>
        <w:pStyle w:val="PolicyHeading"/>
        <w:pBdr>
          <w:bottom w:val="single" w:color="2D685A" w:sz="4" w:space="1"/>
        </w:pBdr>
        <w:spacing w:after="180" w:before="260"/>
        <w:jc w:val="left"/>
      </w:pPr>
      <w:bookmarkStart w:name="standard-quantitative" w:id="1"/>
      <w:bookmarkEnd w:id="1"/>
      <w:r>
        <w:rPr>
          <w:rFonts w:ascii="Bell MT" w:cs="Bell MT" w:eastAsia="Bell MT" w:hAnsi="Bell MT"/>
          <w:color w:val="64766E"/>
          <w:sz w:val="20"/>
          <w:szCs w:val="20"/>
        </w:rPr>
        <w:t xml:space="preserve">06   </w:t>
      </w:r>
      <w:r>
        <w:rPr>
          <w:rFonts w:ascii="Bell MT" w:cs="Bell MT" w:eastAsia="Bell MT" w:hAnsi="Bell MT"/>
          <w:b/>
          <w:bCs/>
          <w:color w:val="1B443A"/>
          <w:sz w:val="34"/>
          <w:szCs w:val="34"/>
        </w:rPr>
        <w:t xml:space="preserve">Quantitative Targets</w:t>
      </w:r>
    </w:p>
    <w:p>
      <w:pPr>
        <w:spacing w:after="120"/>
      </w:pPr>
      <w:r>
        <w:rPr>
          <w:rFonts w:ascii="Bell MT" w:cs="Bell MT" w:eastAsia="Bell MT" w:hAnsi="Bell MT"/>
          <w:i/>
          <w:iCs/>
          <w:color w:val="64766E"/>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50"/>
        <w:gridCol w:w="6762"/>
        <w:gridCol w:w="1900"/>
      </w:tblGrid>
      <w:tr>
        <w:trPr>
          <w:cantSplit/>
        </w:trPr>
        <w:tc>
          <w:tcPr>
            <w:tcW w:type="dxa" w:w="750"/>
            <w:shd w:fill="E5F1EC" w:color="E5F1EC" w:val="solid"/>
            <w:tcMar>
              <w:top w:type="dxa" w:w="120"/>
              <w:left w:type="dxa" w:w="120"/>
              <w:bottom w:type="dxa" w:w="120"/>
              <w:right w:type="dxa" w:w="120"/>
            </w:tcMar>
            <w:vAlign w:val="center"/>
          </w:tcPr>
          <w:p>
            <w:pPr>
              <w:jc w:val="center"/>
            </w:pPr>
            <w:r>
              <w:rPr>
                <w:rFonts w:ascii="Bell MT" w:cs="Bell MT" w:eastAsia="Bell MT" w:hAnsi="Bell MT"/>
                <w:color w:val="2D685A"/>
                <w:sz w:val="30"/>
                <w:szCs w:val="30"/>
              </w:rPr>
              <w:t xml:space="preserve">01</w:t>
            </w:r>
          </w:p>
        </w:tc>
        <w:tc>
          <w:tcPr>
            <w:tcW w:type="dxa" w:w="6762"/>
            <w:tcBorders>
              <w:left w:val="single" w:color="CFE0D9" w:sz="5" w:space="1"/>
              <w:right w:val="single" w:color="CFE0D9" w:sz="5" w:space="1"/>
            </w:tcBorders>
            <w:shd w:fill="E5F1EC" w:color="E5F1EC" w:val="solid"/>
            <w:tcMar>
              <w:top w:type="dxa" w:w="120"/>
              <w:left w:type="dxa" w:w="120"/>
              <w:bottom w:type="dxa" w:w="120"/>
              <w:right w:type="dxa" w:w="120"/>
            </w:tcMar>
            <w:vAlign w:val="center"/>
          </w:tcPr>
          <w:p>
            <w:pPr>
              <w:spacing w:after="55"/>
            </w:pPr>
            <w:r>
              <w:rPr>
                <w:rFonts w:ascii="Bell MT" w:cs="Bell MT" w:eastAsia="Bell MT" w:hAnsi="Bell MT"/>
                <w:b/>
                <w:bCs/>
                <w:color w:val="1B443A"/>
                <w:sz w:val="26"/>
                <w:szCs w:val="26"/>
              </w:rPr>
              <w:t xml:space="preserve">Anti-Corruption &amp; Anti-Bribery</w:t>
            </w:r>
          </w:p>
          <w:p>
            <w:r>
              <w:rPr>
                <w:rFonts w:ascii="Bell MT" w:cs="Bell MT" w:eastAsia="Bell MT" w:hAnsi="Bell MT"/>
                <w:sz w:val="22"/>
                <w:szCs w:val="22"/>
              </w:rPr>
              <w:t xml:space="preserve">Achieve the approved anti-corruption &amp; anti-bribery target</w:t>
            </w:r>
          </w:p>
        </w:tc>
        <w:tc>
          <w:tcPr>
            <w:tcW w:type="dxa" w:w="1900"/>
            <w:shd w:fill="E5F1EC" w:color="E5F1EC" w:val="solid"/>
            <w:tcMar>
              <w:top w:type="dxa" w:w="120"/>
              <w:left w:type="dxa" w:w="120"/>
              <w:bottom w:type="dxa" w:w="120"/>
              <w:right w:type="dxa" w:w="120"/>
            </w:tcMar>
            <w:vAlign w:val="center"/>
          </w:tcPr>
          <w:p>
            <w:r>
              <w:rPr>
                <w:rFonts w:ascii="Bell MT" w:cs="Bell MT" w:eastAsia="Bell MT" w:hAnsi="Bell MT"/>
                <w:b/>
                <w:bCs/>
                <w:color w:val="1D2925"/>
                <w:sz w:val="14"/>
                <w:szCs w:val="14"/>
              </w:rPr>
              <w:t xml:space="preserve">FY 2028-29</w:t>
            </w:r>
          </w:p>
          <w:p>
            <w:pPr>
              <w:spacing w:before="45"/>
            </w:pPr>
            <w:r>
              <w:rPr>
                <w:rFonts w:ascii="Bell MT" w:cs="Bell MT" w:eastAsia="Bell MT" w:hAnsi="Bell MT"/>
                <w:color w:val="64766E"/>
                <w:sz w:val="14"/>
                <w:szCs w:val="14"/>
              </w:rPr>
              <w:t xml:space="preserve">FY 2024-25</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50"/>
        <w:gridCol w:w="6762"/>
        <w:gridCol w:w="1900"/>
      </w:tblGrid>
      <w:tr>
        <w:trPr>
          <w:cantSplit/>
        </w:trPr>
        <w:tc>
          <w:tcPr>
            <w:tcW w:type="dxa" w:w="750"/>
            <w:shd w:fill="E5F1EC" w:color="E5F1EC" w:val="solid"/>
            <w:tcMar>
              <w:top w:type="dxa" w:w="120"/>
              <w:left w:type="dxa" w:w="120"/>
              <w:bottom w:type="dxa" w:w="120"/>
              <w:right w:type="dxa" w:w="120"/>
            </w:tcMar>
            <w:vAlign w:val="center"/>
          </w:tcPr>
          <w:p>
            <w:pPr>
              <w:jc w:val="center"/>
            </w:pPr>
            <w:r>
              <w:rPr>
                <w:rFonts w:ascii="Bell MT" w:cs="Bell MT" w:eastAsia="Bell MT" w:hAnsi="Bell MT"/>
                <w:color w:val="2D685A"/>
                <w:sz w:val="30"/>
                <w:szCs w:val="30"/>
              </w:rPr>
              <w:t xml:space="preserve">02</w:t>
            </w:r>
          </w:p>
        </w:tc>
        <w:tc>
          <w:tcPr>
            <w:tcW w:type="dxa" w:w="6762"/>
            <w:tcBorders>
              <w:left w:val="single" w:color="CFE0D9" w:sz="5" w:space="1"/>
              <w:right w:val="single" w:color="CFE0D9" w:sz="5" w:space="1"/>
            </w:tcBorders>
            <w:shd w:fill="E5F1EC" w:color="E5F1EC" w:val="solid"/>
            <w:tcMar>
              <w:top w:type="dxa" w:w="120"/>
              <w:left w:type="dxa" w:w="120"/>
              <w:bottom w:type="dxa" w:w="120"/>
              <w:right w:type="dxa" w:w="120"/>
            </w:tcMar>
            <w:vAlign w:val="center"/>
          </w:tcPr>
          <w:p>
            <w:pPr>
              <w:spacing w:after="55"/>
            </w:pPr>
            <w:r>
              <w:rPr>
                <w:rFonts w:ascii="Bell MT" w:cs="Bell MT" w:eastAsia="Bell MT" w:hAnsi="Bell MT"/>
                <w:b/>
                <w:bCs/>
                <w:color w:val="1B443A"/>
                <w:sz w:val="26"/>
                <w:szCs w:val="26"/>
              </w:rPr>
              <w:t xml:space="preserve">Conflicts of Interest</w:t>
            </w:r>
          </w:p>
          <w:p>
            <w:r>
              <w:rPr>
                <w:rFonts w:ascii="Bell MT" w:cs="Bell MT" w:eastAsia="Bell MT" w:hAnsi="Bell MT"/>
                <w:sz w:val="22"/>
                <w:szCs w:val="22"/>
              </w:rPr>
              <w:t xml:space="preserve">Achieve the approved conflicts of interest target</w:t>
            </w:r>
          </w:p>
        </w:tc>
        <w:tc>
          <w:tcPr>
            <w:tcW w:type="dxa" w:w="1900"/>
            <w:shd w:fill="E5F1EC" w:color="E5F1EC" w:val="solid"/>
            <w:tcMar>
              <w:top w:type="dxa" w:w="120"/>
              <w:left w:type="dxa" w:w="120"/>
              <w:bottom w:type="dxa" w:w="120"/>
              <w:right w:type="dxa" w:w="120"/>
            </w:tcMar>
            <w:vAlign w:val="center"/>
          </w:tcPr>
          <w:p>
            <w:r>
              <w:rPr>
                <w:rFonts w:ascii="Bell MT" w:cs="Bell MT" w:eastAsia="Bell MT" w:hAnsi="Bell MT"/>
                <w:b/>
                <w:bCs/>
                <w:color w:val="1D2925"/>
                <w:sz w:val="14"/>
                <w:szCs w:val="14"/>
              </w:rPr>
              <w:t xml:space="preserve">FY 2028-29</w:t>
            </w:r>
          </w:p>
          <w:p>
            <w:pPr>
              <w:spacing w:before="45"/>
            </w:pPr>
            <w:r>
              <w:rPr>
                <w:rFonts w:ascii="Bell MT" w:cs="Bell MT" w:eastAsia="Bell MT" w:hAnsi="Bell MT"/>
                <w:color w:val="64766E"/>
                <w:sz w:val="14"/>
                <w:szCs w:val="14"/>
              </w:rPr>
              <w:t xml:space="preserve">FY 2024-25</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50"/>
        <w:gridCol w:w="6762"/>
        <w:gridCol w:w="1900"/>
      </w:tblGrid>
      <w:tr>
        <w:trPr>
          <w:cantSplit/>
        </w:trPr>
        <w:tc>
          <w:tcPr>
            <w:tcW w:type="dxa" w:w="750"/>
            <w:shd w:fill="E5F1EC" w:color="E5F1EC" w:val="solid"/>
            <w:tcMar>
              <w:top w:type="dxa" w:w="120"/>
              <w:left w:type="dxa" w:w="120"/>
              <w:bottom w:type="dxa" w:w="120"/>
              <w:right w:type="dxa" w:w="120"/>
            </w:tcMar>
            <w:vAlign w:val="center"/>
          </w:tcPr>
          <w:p>
            <w:pPr>
              <w:jc w:val="center"/>
            </w:pPr>
            <w:r>
              <w:rPr>
                <w:rFonts w:ascii="Bell MT" w:cs="Bell MT" w:eastAsia="Bell MT" w:hAnsi="Bell MT"/>
                <w:color w:val="2D685A"/>
                <w:sz w:val="30"/>
                <w:szCs w:val="30"/>
              </w:rPr>
              <w:t xml:space="preserve">03</w:t>
            </w:r>
          </w:p>
        </w:tc>
        <w:tc>
          <w:tcPr>
            <w:tcW w:type="dxa" w:w="6762"/>
            <w:tcBorders>
              <w:left w:val="single" w:color="CFE0D9" w:sz="5" w:space="1"/>
              <w:right w:val="single" w:color="CFE0D9" w:sz="5" w:space="1"/>
            </w:tcBorders>
            <w:shd w:fill="E5F1EC" w:color="E5F1EC" w:val="solid"/>
            <w:tcMar>
              <w:top w:type="dxa" w:w="120"/>
              <w:left w:type="dxa" w:w="120"/>
              <w:bottom w:type="dxa" w:w="120"/>
              <w:right w:type="dxa" w:w="120"/>
            </w:tcMar>
            <w:vAlign w:val="center"/>
          </w:tcPr>
          <w:p>
            <w:pPr>
              <w:spacing w:after="55"/>
            </w:pPr>
            <w:r>
              <w:rPr>
                <w:rFonts w:ascii="Bell MT" w:cs="Bell MT" w:eastAsia="Bell MT" w:hAnsi="Bell MT"/>
                <w:b/>
                <w:bCs/>
                <w:color w:val="1B443A"/>
                <w:sz w:val="26"/>
                <w:szCs w:val="26"/>
              </w:rPr>
              <w:t xml:space="preserve">Data Privacy &amp; Confidentiality</w:t>
            </w:r>
          </w:p>
          <w:p>
            <w:r>
              <w:rPr>
                <w:rFonts w:ascii="Bell MT" w:cs="Bell MT" w:eastAsia="Bell MT" w:hAnsi="Bell MT"/>
                <w:sz w:val="22"/>
                <w:szCs w:val="22"/>
              </w:rPr>
              <w:t xml:space="preserve">Achieve the approved data privacy &amp; confidentiality target</w:t>
            </w:r>
          </w:p>
        </w:tc>
        <w:tc>
          <w:tcPr>
            <w:tcW w:type="dxa" w:w="1900"/>
            <w:shd w:fill="E5F1EC" w:color="E5F1EC" w:val="solid"/>
            <w:tcMar>
              <w:top w:type="dxa" w:w="120"/>
              <w:left w:type="dxa" w:w="120"/>
              <w:bottom w:type="dxa" w:w="120"/>
              <w:right w:type="dxa" w:w="120"/>
            </w:tcMar>
            <w:vAlign w:val="center"/>
          </w:tcPr>
          <w:p>
            <w:r>
              <w:rPr>
                <w:rFonts w:ascii="Bell MT" w:cs="Bell MT" w:eastAsia="Bell MT" w:hAnsi="Bell MT"/>
                <w:b/>
                <w:bCs/>
                <w:color w:val="1D2925"/>
                <w:sz w:val="14"/>
                <w:szCs w:val="14"/>
              </w:rPr>
              <w:t xml:space="preserve">FY 2028-29</w:t>
            </w:r>
          </w:p>
          <w:p>
            <w:pPr>
              <w:spacing w:before="45"/>
            </w:pPr>
            <w:r>
              <w:rPr>
                <w:rFonts w:ascii="Bell MT" w:cs="Bell MT" w:eastAsia="Bell MT" w:hAnsi="Bell MT"/>
                <w:color w:val="64766E"/>
                <w:sz w:val="14"/>
                <w:szCs w:val="14"/>
              </w:rPr>
              <w:t xml:space="preserve">FY 2024-25</w:t>
            </w:r>
          </w:p>
        </w:tc>
      </w:tr>
    </w:tbl>
    <w:p>
      <w:pPr>
        <w:spacing w:before="165"/>
      </w:pPr>
      <w:r>
        <w:rPr>
          <w:sz w:val="2"/>
          <w:szCs w:val="2"/>
        </w:rPr>
        <w:t xml:space="preserve"> </w:t>
      </w:r>
    </w:p>
    <w:p>
      <w:pPr>
        <w:pStyle w:val="PolicyHeading"/>
        <w:pBdr>
          <w:bottom w:val="single" w:color="2D685A" w:sz="4" w:space="1"/>
        </w:pBdr>
        <w:spacing w:after="180" w:before="260"/>
        <w:jc w:val="left"/>
      </w:pPr>
      <w:bookmarkStart w:name="standard-sdg" w:id="1"/>
      <w:bookmarkEnd w:id="1"/>
      <w:r>
        <w:rPr>
          <w:rFonts w:ascii="Bell MT" w:cs="Bell MT" w:eastAsia="Bell MT" w:hAnsi="Bell MT"/>
          <w:color w:val="64766E"/>
          <w:sz w:val="20"/>
          <w:szCs w:val="20"/>
        </w:rPr>
        <w:t xml:space="preserve">07   </w:t>
      </w:r>
      <w:r>
        <w:rPr>
          <w:rFonts w:ascii="Bell MT" w:cs="Bell MT" w:eastAsia="Bell MT" w:hAnsi="Bell MT"/>
          <w:b/>
          <w:bCs/>
          <w:color w:val="1B443A"/>
          <w:sz w:val="34"/>
          <w:szCs w:val="34"/>
        </w:rPr>
        <w:t xml:space="preserve">SDG Alignment</w:t>
      </w:r>
    </w:p>
    <w:p>
      <w:pPr>
        <w:spacing w:after="130"/>
      </w:pPr>
      <w:r>
        <w:rPr>
          <w:rFonts w:ascii="Bell MT" w:cs="Bell MT" w:eastAsia="Bell MT" w:hAnsi="Bell MT"/>
        </w:rPr>
        <w:t xml:space="preserve">This policy aligns with the following United Nations Sustainable Development Goals:</w:t>
      </w:r>
    </w:p>
    <w:tbl>
      <w:tblPr>
        <w:tblW w:type="dxa" w:w="9411"/>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3137"/>
        <w:gridCol w:w="3137"/>
        <w:gridCol w:w="3137"/>
      </w:tblGrid>
      <w:tr>
        <w:trPr>
          <w:cantSplit/>
        </w:trPr>
        <w:tc>
          <w:tcPr>
            <w:tcW w:type="dxa" w:w="3137"/>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Decent Work</w:t>
            </w:r>
          </w:p>
        </w:tc>
        <w:tc>
          <w:tcPr>
            <w:tcW w:type="dxa" w:w="3137"/>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Reduced Inequalities</w:t>
            </w:r>
          </w:p>
        </w:tc>
        <w:tc>
          <w:tcPr>
            <w:tcW w:type="dxa" w:w="3137"/>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Responsible Consumption</w:t>
            </w:r>
          </w:p>
        </w:tc>
      </w:tr>
      <w:tr>
        <w:trPr>
          <w:cantSplit/>
        </w:trPr>
        <w:tc>
          <w:tcPr>
            <w:tcW w:type="dxa" w:w="3137"/>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Peace &amp; Justice</w:t>
            </w:r>
          </w:p>
        </w:tc>
        <w:tc>
          <w:tcPr>
            <w:tcW w:type="dxa" w:w="3137"/>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Partnerships</w:t>
            </w:r>
          </w:p>
        </w:tc>
        <w:tc>
          <w:tcPr>
            <w:tcW w:type="dxa" w:w="3137"/>
            <w:tcMar>
              <w:top w:type="dxa" w:w="120"/>
              <w:left w:type="dxa" w:w="120"/>
              <w:bottom w:type="dxa" w:w="120"/>
              <w:right w:type="dxa" w:w="120"/>
            </w:tcMar>
            <w:vAlign w:val="center"/>
          </w:tcPr>
          <w:p>
            <w:r>
              <w:t xml:space="preserve"/>
            </w:r>
          </w:p>
        </w:tc>
      </w:tr>
    </w:tbl>
    <w:p>
      <w:pPr>
        <w:spacing w:before="165"/>
      </w:pPr>
      <w:r>
        <w:rPr>
          <w:sz w:val="2"/>
          <w:szCs w:val="2"/>
        </w:rPr>
        <w:t xml:space="preserve"> </w:t>
      </w:r>
    </w:p>
    <w:p>
      <w:pPr>
        <w:pStyle w:val="PolicyHeading"/>
        <w:pBdr>
          <w:bottom w:val="single" w:color="2D685A" w:sz="4" w:space="1"/>
        </w:pBdr>
        <w:spacing w:after="180" w:before="260"/>
        <w:jc w:val="left"/>
      </w:pPr>
      <w:bookmarkStart w:name="standard-responsibilities" w:id="1"/>
      <w:bookmarkEnd w:id="1"/>
      <w:r>
        <w:rPr>
          <w:rFonts w:ascii="Bell MT" w:cs="Bell MT" w:eastAsia="Bell MT" w:hAnsi="Bell MT"/>
          <w:color w:val="64766E"/>
          <w:sz w:val="20"/>
          <w:szCs w:val="20"/>
        </w:rPr>
        <w:t xml:space="preserve">08   </w:t>
      </w:r>
      <w:r>
        <w:rPr>
          <w:rFonts w:ascii="Bell MT" w:cs="Bell MT" w:eastAsia="Bell MT" w:hAnsi="Bell MT"/>
          <w:b/>
          <w:bCs/>
          <w:color w:val="1B443A"/>
          <w:sz w:val="34"/>
          <w:szCs w:val="34"/>
        </w:rPr>
        <w:t xml:space="preserve">Roles &amp; Responsibilities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01</w:t>
            </w:r>
            <w:r>
              <w:rPr>
                <w:rFonts w:ascii="Bell MT" w:cs="Bell MT" w:eastAsia="Bell MT" w:hAnsi="Bell MT"/>
                <w:b/>
                <w:bCs/>
                <w:color w:val="1B443A"/>
                <w:sz w:val="26"/>
                <w:szCs w:val="26"/>
              </w:rPr>
              <w:t xml:space="preserve">  Compliance Officer</w:t>
            </w:r>
          </w:p>
          <w:p>
            <w:r>
              <w:rPr>
                <w:rFonts w:ascii="Bell MT" w:cs="Bell MT" w:eastAsia="Bell MT" w:hAnsi="Bell MT"/>
                <w:sz w:val="22"/>
                <w:szCs w:val="22"/>
              </w:rPr>
              <w:t xml:space="preserve">Oversee ethics program implementation, manage whistleblowing channels, and investigate reported violations.</w:t>
            </w:r>
          </w:p>
        </w:tc>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02</w:t>
            </w:r>
            <w:r>
              <w:rPr>
                <w:rFonts w:ascii="Bell MT" w:cs="Bell MT" w:eastAsia="Bell MT" w:hAnsi="Bell MT"/>
                <w:b/>
                <w:bCs/>
                <w:color w:val="1B443A"/>
                <w:sz w:val="26"/>
                <w:szCs w:val="26"/>
              </w:rPr>
              <w:t xml:space="preserve">  HR Manager</w:t>
            </w:r>
          </w:p>
          <w:p>
            <w:r>
              <w:rPr>
                <w:rFonts w:ascii="Bell MT" w:cs="Bell MT" w:eastAsia="Bell MT" w:hAnsi="Bell MT"/>
                <w:sz w:val="22"/>
                <w:szCs w:val="22"/>
              </w:rPr>
              <w:t xml:space="preserve">Enforce code of conduct, coordinate ethics training, and address workforce compliance issues.</w:t>
            </w:r>
          </w:p>
        </w:tc>
      </w:tr>
      <w:tr>
        <w:trPr>
          <w:cantSplit/>
        </w:trPr>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03</w:t>
            </w:r>
            <w:r>
              <w:rPr>
                <w:rFonts w:ascii="Bell MT" w:cs="Bell MT" w:eastAsia="Bell MT" w:hAnsi="Bell MT"/>
                <w:b/>
                <w:bCs/>
                <w:color w:val="1B443A"/>
                <w:sz w:val="26"/>
                <w:szCs w:val="26"/>
              </w:rPr>
              <w:t xml:space="preserve">  IT Manager</w:t>
            </w:r>
          </w:p>
          <w:p>
            <w:r>
              <w:rPr>
                <w:rFonts w:ascii="Bell MT" w:cs="Bell MT" w:eastAsia="Bell MT" w:hAnsi="Bell MT"/>
                <w:sz w:val="22"/>
                <w:szCs w:val="22"/>
              </w:rPr>
              <w:t xml:space="preserve">Maintain data privacy controls, safeguard confidential information, and ensure cybersecurity compliance.</w:t>
            </w:r>
          </w:p>
        </w:tc>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04</w:t>
            </w:r>
            <w:r>
              <w:rPr>
                <w:rFonts w:ascii="Bell MT" w:cs="Bell MT" w:eastAsia="Bell MT" w:hAnsi="Bell MT"/>
                <w:b/>
                <w:bCs/>
                <w:color w:val="1B443A"/>
                <w:sz w:val="26"/>
                <w:szCs w:val="26"/>
              </w:rPr>
              <w:t xml:space="preserve">  Internal Audit Team</w:t>
            </w:r>
          </w:p>
          <w:p>
            <w:r>
              <w:rPr>
                <w:rFonts w:ascii="Bell MT" w:cs="Bell MT" w:eastAsia="Bell MT" w:hAnsi="Bell MT"/>
                <w:sz w:val="22"/>
                <w:szCs w:val="22"/>
              </w:rPr>
              <w:t xml:space="preserve">Conduct periodic compliance audits, assess anti-corruption controls, and report findings to management.</w:t>
            </w:r>
          </w:p>
        </w:tc>
      </w:tr>
      <w:tr>
        <w:trPr>
          <w:cantSplit/>
        </w:trPr>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05</w:t>
            </w:r>
            <w:r>
              <w:rPr>
                <w:rFonts w:ascii="Bell MT" w:cs="Bell MT" w:eastAsia="Bell MT" w:hAnsi="Bell MT"/>
                <w:b/>
                <w:bCs/>
                <w:color w:val="1B443A"/>
                <w:sz w:val="26"/>
                <w:szCs w:val="26"/>
              </w:rPr>
              <w:t xml:space="preserve">  Senior Management</w:t>
            </w:r>
          </w:p>
          <w:p>
            <w:r>
              <w:rPr>
                <w:rFonts w:ascii="Bell MT" w:cs="Bell MT" w:eastAsia="Bell MT" w:hAnsi="Bell MT"/>
                <w:sz w:val="22"/>
                <w:szCs w:val="22"/>
              </w:rPr>
              <w:t xml:space="preserve">Promote an ethical culture, approve ethics policies, and ensure organizational accountability.</w:t>
            </w:r>
          </w:p>
        </w:tc>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06</w:t>
            </w:r>
            <w:r>
              <w:rPr>
                <w:rFonts w:ascii="Bell MT" w:cs="Bell MT" w:eastAsia="Bell MT" w:hAnsi="Bell MT"/>
                <w:b/>
                <w:bCs/>
                <w:color w:val="1B443A"/>
                <w:sz w:val="26"/>
                <w:szCs w:val="26"/>
              </w:rPr>
              <w:t xml:space="preserve">  Employees</w:t>
            </w:r>
          </w:p>
          <w:p>
            <w:r>
              <w:rPr>
                <w:rFonts w:ascii="Bell MT" w:cs="Bell MT" w:eastAsia="Bell MT" w:hAnsi="Bell MT"/>
                <w:sz w:val="22"/>
                <w:szCs w:val="22"/>
              </w:rPr>
              <w:t xml:space="preserve">Uphold ethical standards, report misconduct or conflicts of interest, and complete mandatory training.</w:t>
            </w:r>
          </w:p>
        </w:tc>
      </w:tr>
    </w:tbl>
    <w:p>
      <w:pPr>
        <w:spacing w:before="165"/>
      </w:pPr>
      <w:r>
        <w:rPr>
          <w:sz w:val="2"/>
          <w:szCs w:val="2"/>
        </w:rPr>
        <w:t xml:space="preserve"> </w:t>
      </w:r>
    </w:p>
    <w:p>
      <w:pPr>
        <w:pStyle w:val="PolicyHeading"/>
        <w:pBdr>
          <w:bottom w:val="single" w:color="2D685A" w:sz="4" w:space="1"/>
        </w:pBdr>
        <w:spacing w:after="180" w:before="260"/>
        <w:jc w:val="left"/>
      </w:pPr>
      <w:bookmarkStart w:name="standard-monitoring" w:id="1"/>
      <w:bookmarkEnd w:id="1"/>
      <w:r>
        <w:rPr>
          <w:rFonts w:ascii="Bell MT" w:cs="Bell MT" w:eastAsia="Bell MT" w:hAnsi="Bell MT"/>
          <w:color w:val="64766E"/>
          <w:sz w:val="20"/>
          <w:szCs w:val="20"/>
        </w:rPr>
        <w:t xml:space="preserve">09   </w:t>
      </w:r>
      <w:r>
        <w:rPr>
          <w:rFonts w:ascii="Bell MT" w:cs="Bell MT" w:eastAsia="Bell MT" w:hAnsi="Bell MT"/>
          <w:b/>
          <w:bCs/>
          <w:color w:val="1B443A"/>
          <w:sz w:val="34"/>
          <w:szCs w:val="34"/>
        </w:rPr>
        <w:t xml:space="preserve">Monitoring, Reporting &amp; Transparency</w:t>
      </w:r>
    </w:p>
    <w:p>
      <w:pPr>
        <w:pStyle w:val="PolicyBody"/>
        <w:spacing w:after="150" w:line="348"/>
        <w:jc w:val="both"/>
      </w:pPr>
      <w:r>
        <w:rPr>
          <w:rFonts w:ascii="Bell MT" w:cs="Bell MT" w:eastAsia="Bell MT" w:hAnsi="Bell MT"/>
          <w:sz w:val="22"/>
          <w:szCs w:val="22"/>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65"/>
      </w:pPr>
      <w:r>
        <w:rPr>
          <w:sz w:val="2"/>
          <w:szCs w:val="2"/>
        </w:rPr>
        <w:t xml:space="preserve"> </w:t>
      </w:r>
    </w:p>
    <w:p>
      <w:pPr>
        <w:pStyle w:val="PolicyHeading"/>
        <w:pBdr>
          <w:bottom w:val="single" w:color="2D685A" w:sz="4" w:space="1"/>
        </w:pBdr>
        <w:spacing w:after="180" w:before="260"/>
        <w:jc w:val="left"/>
      </w:pPr>
      <w:bookmarkStart w:name="standard-review" w:id="1"/>
      <w:bookmarkEnd w:id="1"/>
      <w:r>
        <w:rPr>
          <w:rFonts w:ascii="Bell MT" w:cs="Bell MT" w:eastAsia="Bell MT" w:hAnsi="Bell MT"/>
          <w:color w:val="64766E"/>
          <w:sz w:val="20"/>
          <w:szCs w:val="20"/>
        </w:rPr>
        <w:t xml:space="preserve">10   </w:t>
      </w:r>
      <w:r>
        <w:rPr>
          <w:rFonts w:ascii="Bell MT" w:cs="Bell MT" w:eastAsia="Bell MT" w:hAnsi="Bell MT"/>
          <w:b/>
          <w:bCs/>
          <w:color w:val="1B443A"/>
          <w:sz w:val="34"/>
          <w:szCs w:val="34"/>
        </w:rPr>
        <w:t xml:space="preserve">Review Mechanism &amp; Continuous Improvement</w:t>
      </w:r>
    </w:p>
    <w:p>
      <w:pPr>
        <w:pStyle w:val="PolicyBody"/>
        <w:spacing w:after="150" w:line="348"/>
        <w:jc w:val="both"/>
      </w:pPr>
      <w:r>
        <w:rPr>
          <w:rFonts w:ascii="Bell MT" w:cs="Bell MT" w:eastAsia="Bell MT" w:hAnsi="Bell MT"/>
          <w:sz w:val="22"/>
          <w:szCs w:val="22"/>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65"/>
      </w:pPr>
      <w:r>
        <w:rPr>
          <w:sz w:val="2"/>
          <w:szCs w:val="2"/>
        </w:rPr>
        <w:t xml:space="preserve"> </w:t>
      </w:r>
    </w:p>
    <w:p>
      <w:pPr>
        <w:spacing w:before="100"/>
      </w:pPr>
      <w:r>
        <w:rPr>
          <w:sz w:val="2"/>
          <w:szCs w:val="2"/>
        </w:rPr>
        <w:t xml:space="preserve"> </w:t>
      </w:r>
    </w:p>
    <w:p>
      <w:pPr>
        <w:spacing w:after="120" w:before="160"/>
      </w:pPr>
      <w:r>
        <w:rPr>
          <w:rFonts w:ascii="Bell MT" w:cs="Bell MT" w:eastAsia="Bell MT" w:hAnsi="Bell MT"/>
          <w:b/>
          <w:bCs/>
          <w:color w:val="1B443A"/>
        </w:rPr>
        <w:t xml:space="preserve">Approved by: </w:t>
      </w:r>
      <w:r>
        <w:rPr>
          <w:rFonts w:ascii="Bell MT" w:cs="Bell MT" w:eastAsia="Bell MT" w:hAnsi="Bell MT"/>
        </w:rPr>
        <w:t xml:space="preserve">Managing Director</w:t>
      </w:r>
    </w:p>
    <w:p>
      <w:r>
        <w:br w:type="page"/>
      </w:r>
    </w:p>
    <w:p>
      <w:pPr>
        <w:spacing w:after="180"/>
        <w:jc w:val="left"/>
      </w:pPr>
      <w:bookmarkStart w:name="acknowledgement" w:id="1"/>
      <w:bookmarkEnd w:id="1"/>
      <w:r>
        <w:rPr>
          <w:rFonts w:ascii="Bell MT" w:cs="Bell MT" w:eastAsia="Bell MT" w:hAnsi="Bell MT"/>
          <w:b/>
          <w:bCs/>
          <w:i w:val="false"/>
          <w:iCs w:val="false"/>
          <w:color w:val="1B443A"/>
          <w:sz w:val="36"/>
          <w:szCs w:val="36"/>
        </w:rPr>
        <w:t xml:space="preserve">Employee Acknowledgement Form</w:t>
      </w:r>
    </w:p>
    <w:p>
      <w:pPr>
        <w:spacing w:after="260" w:line="348"/>
        <w:jc w:val="both"/>
      </w:pPr>
      <w:r>
        <w:rPr>
          <w:rFonts w:ascii="Bell MT" w:cs="Bell MT" w:eastAsia="Bell MT" w:hAnsi="Bell MT"/>
          <w:sz w:val="22"/>
          <w:szCs w:val="22"/>
        </w:rPr>
        <w:t xml:space="preserve">I acknowledge that I have read and understood the Ethics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shd w:fill="E5F1EC" w:color="E5F1EC" w:val="solid"/>
            <w:tcMar>
              <w:top w:type="dxa" w:w="120"/>
              <w:left w:type="dxa" w:w="140"/>
              <w:bottom w:type="dxa" w:w="120"/>
              <w:right w:type="dxa" w:w="140"/>
            </w:tcMar>
            <w:vAlign w:val="center"/>
          </w:tcPr>
          <w:p>
            <w:pPr>
              <w:spacing w:after="100"/>
            </w:pPr>
            <w:r>
              <w:rPr>
                <w:rFonts w:ascii="Bell MT" w:cs="Bell MT" w:eastAsia="Bell MT" w:hAnsi="Bell MT"/>
                <w:b/>
                <w:bCs/>
                <w:color w:val="64766E"/>
                <w:spacing w:val="35"/>
                <w:sz w:val="14"/>
                <w:szCs w:val="14"/>
              </w:rPr>
              <w:t xml:space="preserve">EMPLOYEE NAME</w:t>
            </w:r>
          </w:p>
          <w:p>
            <w:pPr>
              <w:pBdr>
                <w:bottom w:val="single" w:color="64766E" w:sz="6" w:space="1"/>
              </w:pBdr>
              <w:spacing w:after="170"/>
            </w:pPr>
            <w:r>
              <w:t xml:space="preserve"> </w:t>
            </w:r>
          </w:p>
        </w:tc>
        <w:tc>
          <w:tcPr>
            <w:tcW w:type="dxa" w:w="4706"/>
            <w:shd w:fill="E5F1EC" w:color="E5F1EC" w:val="solid"/>
            <w:tcMar>
              <w:top w:type="dxa" w:w="120"/>
              <w:left w:type="dxa" w:w="140"/>
              <w:bottom w:type="dxa" w:w="120"/>
              <w:right w:type="dxa" w:w="140"/>
            </w:tcMar>
            <w:vAlign w:val="center"/>
          </w:tcPr>
          <w:p>
            <w:pPr>
              <w:spacing w:after="100"/>
            </w:pPr>
            <w:r>
              <w:rPr>
                <w:rFonts w:ascii="Bell MT" w:cs="Bell MT" w:eastAsia="Bell MT" w:hAnsi="Bell MT"/>
                <w:b/>
                <w:bCs/>
                <w:color w:val="64766E"/>
                <w:spacing w:val="35"/>
                <w:sz w:val="14"/>
                <w:szCs w:val="14"/>
              </w:rPr>
              <w:t xml:space="preserve">EMPLOYEE ID</w:t>
            </w:r>
          </w:p>
          <w:p>
            <w:pPr>
              <w:pBdr>
                <w:bottom w:val="single" w:color="64766E" w:sz="6" w:space="1"/>
              </w:pBdr>
              <w:spacing w:after="170"/>
            </w:pPr>
            <w:r>
              <w:t xml:space="preserve"> </w:t>
            </w:r>
          </w:p>
        </w:tc>
      </w:tr>
      <w:tr>
        <w:trPr>
          <w:cantSplit/>
        </w:trPr>
        <w:tc>
          <w:tcPr>
            <w:tcW w:type="dxa" w:w="4706"/>
            <w:shd w:fill="E5F1EC" w:color="E5F1EC" w:val="solid"/>
            <w:tcMar>
              <w:top w:type="dxa" w:w="120"/>
              <w:left w:type="dxa" w:w="140"/>
              <w:bottom w:type="dxa" w:w="120"/>
              <w:right w:type="dxa" w:w="140"/>
            </w:tcMar>
            <w:vAlign w:val="center"/>
          </w:tcPr>
          <w:p>
            <w:pPr>
              <w:spacing w:after="100"/>
            </w:pPr>
            <w:r>
              <w:rPr>
                <w:rFonts w:ascii="Bell MT" w:cs="Bell MT" w:eastAsia="Bell MT" w:hAnsi="Bell MT"/>
                <w:b/>
                <w:bCs/>
                <w:color w:val="64766E"/>
                <w:spacing w:val="35"/>
                <w:sz w:val="14"/>
                <w:szCs w:val="14"/>
              </w:rPr>
              <w:t xml:space="preserve">DEPARTMENT</w:t>
            </w:r>
          </w:p>
          <w:p>
            <w:pPr>
              <w:pBdr>
                <w:bottom w:val="single" w:color="64766E" w:sz="6" w:space="1"/>
              </w:pBdr>
              <w:spacing w:after="170"/>
            </w:pPr>
            <w:r>
              <w:t xml:space="preserve"> </w:t>
            </w:r>
          </w:p>
        </w:tc>
        <w:tc>
          <w:tcPr>
            <w:tcW w:type="dxa" w:w="4706"/>
            <w:shd w:fill="E5F1EC" w:color="E5F1EC" w:val="solid"/>
            <w:tcMar>
              <w:top w:type="dxa" w:w="120"/>
              <w:left w:type="dxa" w:w="140"/>
              <w:bottom w:type="dxa" w:w="120"/>
              <w:right w:type="dxa" w:w="140"/>
            </w:tcMar>
            <w:vAlign w:val="center"/>
          </w:tcPr>
          <w:p>
            <w:pPr>
              <w:spacing w:after="100"/>
            </w:pPr>
            <w:r>
              <w:rPr>
                <w:rFonts w:ascii="Bell MT" w:cs="Bell MT" w:eastAsia="Bell MT" w:hAnsi="Bell MT"/>
                <w:b/>
                <w:bCs/>
                <w:color w:val="64766E"/>
                <w:spacing w:val="35"/>
                <w:sz w:val="14"/>
                <w:szCs w:val="14"/>
              </w:rPr>
              <w:t xml:space="preserve">DATE</w:t>
            </w:r>
          </w:p>
          <w:p>
            <w:pPr>
              <w:pBdr>
                <w:bottom w:val="single" w:color="64766E" w:sz="6" w:space="1"/>
              </w:pBdr>
              <w:spacing w:after="170"/>
            </w:pPr>
            <w:r>
              <w:t xml:space="preserve"> </w:t>
            </w:r>
          </w:p>
        </w:tc>
      </w:tr>
      <w:tr>
        <w:trPr>
          <w:cantSplit/>
        </w:trPr>
        <w:tc>
          <w:tcPr>
            <w:tcW w:type="dxa" w:w="4706"/>
            <w:shd w:fill="E5F1EC" w:color="E5F1EC" w:val="solid"/>
            <w:tcMar>
              <w:top w:type="dxa" w:w="120"/>
              <w:left w:type="dxa" w:w="140"/>
              <w:bottom w:type="dxa" w:w="120"/>
              <w:right w:type="dxa" w:w="140"/>
            </w:tcMar>
            <w:vAlign w:val="center"/>
          </w:tcPr>
          <w:p>
            <w:pPr>
              <w:spacing w:after="100"/>
            </w:pPr>
            <w:r>
              <w:rPr>
                <w:rFonts w:ascii="Bell MT" w:cs="Bell MT" w:eastAsia="Bell MT" w:hAnsi="Bell MT"/>
                <w:b/>
                <w:bCs/>
                <w:color w:val="64766E"/>
                <w:spacing w:val="35"/>
                <w:sz w:val="14"/>
                <w:szCs w:val="14"/>
              </w:rPr>
              <w:t xml:space="preserve">SIGNATURE</w:t>
            </w:r>
          </w:p>
          <w:p>
            <w:pPr>
              <w:pBdr>
                <w:bottom w:val="single" w:color="64766E"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0D9" w:sz="5" w:space="1"/>
      </w:pBdr>
      <w:spacing w:before="80"/>
      <w:jc w:val="left"/>
    </w:pPr>
    <w:r>
      <w:rPr>
        <w:rFonts w:ascii="Bell MT" w:cs="Bell MT" w:eastAsia="Bell MT" w:hAnsi="Bell MT"/>
        <w:i w:val="false"/>
        <w:iCs w:val="false"/>
        <w:color w:val="64766E"/>
        <w:sz w:val="14"/>
        <w:szCs w:val="14"/>
      </w:rPr>
      <w:t xml:space="preserve">Effective 2025-01-15   -   Revision 01   -   Page </w:t>
    </w:r>
    <w:r>
      <w:rPr>
        <w:rFonts w:ascii="Bell MT" w:cs="Bell MT" w:eastAsia="Bell MT" w:hAnsi="Bell MT"/>
        <w:color w:val="64766E"/>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CFE0D9" w:sz="5" w:space="1"/>
      </w:pBdr>
      <w:spacing w:after="60"/>
      <w:jc w:val="left"/>
    </w:pPr>
    <w:r>
      <w:rPr>
        <w:rFonts w:ascii="Bell MT" w:cs="Bell MT" w:eastAsia="Bell MT" w:hAnsi="Bell MT"/>
        <w:b/>
        <w:bCs/>
        <w:color w:val="64766E"/>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48"/>
        <w:ind w:left="420" w:hanging="220"/>
      </w:pPr>
      <w:rPr>
        <w:rFonts w:ascii="Bell MT" w:cs="Bell MT" w:eastAsia="Bell MT" w:hAnsi="Bell MT"/>
        <w:color w:val="2D685A"/>
      </w:rPr>
    </w:lvl>
  </w:abstractNum>
  <w:abstractNum w:abstractNumId="3" w15:restartNumberingAfterBreak="0">
    <w:multiLevelType w:val="hybridMultilevel"/>
    <w:lvl w:ilvl="0" w15:tentative="1">
      <w:start w:val="1"/>
      <w:numFmt w:val="decimal"/>
      <w:lvlText w:val="%1."/>
      <w:lvlJc w:val="left"/>
      <w:pPr>
        <w:spacing w:after="90" w:line="348"/>
        <w:ind w:left="420" w:hanging="220"/>
      </w:pPr>
      <w:rPr>
        <w:rFonts w:ascii="Bell MT" w:cs="Bell MT" w:eastAsia="Bell MT" w:hAnsi="Bell MT"/>
        <w:b/>
        <w:bCs/>
        <w:color w:val="2D685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ll MT" w:cs="Bell MT" w:eastAsia="Bell MT" w:hAnsi="Bell MT"/>
        <w:color w:val="1D292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212" w:before="354"/>
    </w:pPr>
    <w:rPr>
      <w:rFonts w:ascii="Bell MT" w:cs="Bell MT" w:eastAsia="Bell MT" w:hAnsi="Bell MT"/>
      <w:b/>
      <w:bCs/>
      <w:color w:val="1B443A"/>
      <w:sz w:val="34"/>
      <w:szCs w:val="34"/>
    </w:rPr>
  </w:style>
  <w:style w:type="paragraph" w:styleId="PolicyBody">
    <w:name w:val="Policy Body"/>
    <w:basedOn w:val="Normal"/>
    <w:next w:val="PolicyBody"/>
    <w:qFormat/>
    <w:pPr>
      <w:spacing w:after="177" w:line="348"/>
    </w:pPr>
    <w:rPr>
      <w:rFonts w:ascii="Bell MT" w:cs="Bell MT" w:eastAsia="Bell MT" w:hAnsi="Bell MT"/>
      <w:color w:val="1D292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df2f3178b56855a221bd0f9ffd3edfdfabf23f9.jpg"/><Relationship Id="rId12" Type="http://schemas.openxmlformats.org/officeDocument/2006/relationships/image" Target="media/62e80bf10812089b5b8366d350ae6d64ec900544.jpg"/><Relationship Id="rId13" Type="http://schemas.openxmlformats.org/officeDocument/2006/relationships/image" Target="media/705abb9b335a2c137c6ba6900306bd70d67d6f5c.jpg"/><Relationship Id="rId14" Type="http://schemas.openxmlformats.org/officeDocument/2006/relationships/image" Target="media/7a7254c49f5cf79d3094e0a52e5fab436bbd8666.jpg"/><Relationship Id="rId15" Type="http://schemas.openxmlformats.org/officeDocument/2006/relationships/image" Target="media/e8a6427542f6ec9c91e84c4dfba52a7946d6bd93.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c1d76e313f3b6cbe815e1692a3bdc4bb2bab037.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2c1d76e313f3b6cbe815e1692a3bdc4bb2bab037.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Ethics Policy - Acme Specialty Chemicals Pvt. Ltd.</dc:title>
  <dc:creator>PolicyCraft</dc:creator>
  <cp:lastModifiedBy>Un-named</cp:lastModifiedBy>
  <cp:revision>1</cp:revision>
  <dcterms:created xsi:type="dcterms:W3CDTF">2026-09-08T05:39:53.238Z</dcterms:created>
  <dcterms:modified xsi:type="dcterms:W3CDTF">2026-09-08T05:39:53.239Z</dcterms:modified>
</cp:coreProperties>
</file>

<file path=docProps/custom.xml><?xml version="1.0" encoding="utf-8"?>
<Properties xmlns="http://schemas.openxmlformats.org/officeDocument/2006/custom-properties" xmlns:vt="http://schemas.openxmlformats.org/officeDocument/2006/docPropsVTypes"/>
</file>