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left"/>
      </w:pPr>
      <w:r>
        <w:rPr>
          <w:rFonts w:ascii="Bell MT" w:cs="Bell MT" w:eastAsia="Bell MT" w:hAnsi="Bell MT"/>
          <w:color w:val="64766E"/>
          <w:sz w:val="25"/>
          <w:szCs w:val="25"/>
        </w:rPr>
        <w:t xml:space="preserve">Acme Specialty Chemicals Pvt. Ltd.</w:t>
      </w:r>
    </w:p>
    <w:p>
      <w:pPr>
        <w:spacing w:before="3402"/>
      </w:pPr>
      <w:r>
        <w:rPr>
          <w:sz w:val="2"/>
          <w:szCs w:val="2"/>
        </w:rPr>
        <w:t xml:space="preserve"> </w:t>
      </w:r>
    </w:p>
    <w:p>
      <w:pPr>
        <w:spacing w:after="140"/>
        <w:jc w:val="left"/>
      </w:pPr>
      <w:r>
        <w:rPr>
          <w:rFonts w:ascii="Bell MT" w:cs="Bell MT" w:eastAsia="Bell MT" w:hAnsi="Bell MT"/>
          <w:b/>
          <w:bCs/>
          <w:color w:val="1B443A"/>
          <w:sz w:val="84"/>
          <w:szCs w:val="84"/>
        </w:rPr>
        <w:t xml:space="preserve">Labour &amp; Human Rights Policy</w:t>
      </w:r>
    </w:p>
    <w:p>
      <w:pPr>
        <w:spacing w:before="900"/>
      </w:pPr>
      <w:r>
        <w:rPr>
          <w:sz w:val="2"/>
          <w:szCs w:val="2"/>
        </w:rPr>
        <w:t xml:space="preserve"> </w:t>
      </w:r>
    </w:p>
    <w:p>
      <w:pPr>
        <w:pBdr>
          <w:top w:val="single" w:color="CFE0D9" w:sz="4" w:space="1"/>
        </w:pBdr>
        <w:spacing w:after="220"/>
      </w:pP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20"/>
              <w:bottom w:type="dxa" w:w="120"/>
              <w:right w:type="dxa" w:w="120"/>
            </w:tcMar>
            <w:vAlign w:val="center"/>
          </w:tcPr>
          <w:p>
            <w:pPr>
              <w:spacing w:after="80"/>
            </w:pPr>
            <w:r>
              <w:rPr>
                <w:rFonts w:ascii="Bell MT" w:cs="Bell MT" w:eastAsia="Bell MT" w:hAnsi="Bell MT"/>
                <w:color w:val="64766E"/>
                <w:sz w:val="15"/>
                <w:szCs w:val="15"/>
              </w:rPr>
              <w:t xml:space="preserve">DOCUMENT NO.</w:t>
            </w:r>
          </w:p>
          <w:p>
            <w:pPr>
              <w:spacing w:after="180"/>
            </w:pPr>
            <w:r>
              <w:rPr>
                <w:rFonts w:ascii="Bell MT" w:cs="Bell MT" w:eastAsia="Bell MT" w:hAnsi="Bell MT"/>
                <w:color w:val="64766E"/>
                <w:sz w:val="20"/>
                <w:szCs w:val="20"/>
              </w:rPr>
              <w:t xml:space="preserve">ASC-ENV-001</w:t>
            </w:r>
          </w:p>
        </w:tc>
        <w:tc>
          <w:tcPr>
            <w:tcW w:type="dxa" w:w="4706"/>
            <w:tcMar>
              <w:top w:type="dxa" w:w="120"/>
              <w:left w:type="dxa" w:w="120"/>
              <w:bottom w:type="dxa" w:w="120"/>
              <w:right w:type="dxa" w:w="120"/>
            </w:tcMar>
            <w:vAlign w:val="center"/>
          </w:tcPr>
          <w:p>
            <w:pPr>
              <w:spacing w:after="80"/>
            </w:pPr>
            <w:r>
              <w:rPr>
                <w:rFonts w:ascii="Bell MT" w:cs="Bell MT" w:eastAsia="Bell MT" w:hAnsi="Bell MT"/>
                <w:color w:val="64766E"/>
                <w:sz w:val="15"/>
                <w:szCs w:val="15"/>
              </w:rPr>
              <w:t xml:space="preserve">EFFECTIVE DATE</w:t>
            </w:r>
          </w:p>
          <w:p>
            <w:pPr>
              <w:spacing w:after="180"/>
            </w:pPr>
            <w:r>
              <w:rPr>
                <w:rFonts w:ascii="Bell MT" w:cs="Bell MT" w:eastAsia="Bell MT" w:hAnsi="Bell MT"/>
                <w:color w:val="64766E"/>
                <w:sz w:val="20"/>
                <w:szCs w:val="20"/>
              </w:rPr>
              <w:t xml:space="preserve">2025-01-15</w:t>
            </w:r>
          </w:p>
        </w:tc>
      </w:tr>
      <w:tr>
        <w:trPr>
          <w:cantSplit/>
        </w:trPr>
        <w:tc>
          <w:tcPr>
            <w:tcW w:type="dxa" w:w="4706"/>
            <w:tcMar>
              <w:top w:type="dxa" w:w="120"/>
              <w:left w:type="dxa" w:w="120"/>
              <w:bottom w:type="dxa" w:w="120"/>
              <w:right w:type="dxa" w:w="120"/>
            </w:tcMar>
            <w:vAlign w:val="center"/>
          </w:tcPr>
          <w:p>
            <w:pPr>
              <w:spacing w:after="80"/>
            </w:pPr>
            <w:r>
              <w:rPr>
                <w:rFonts w:ascii="Bell MT" w:cs="Bell MT" w:eastAsia="Bell MT" w:hAnsi="Bell MT"/>
                <w:color w:val="64766E"/>
                <w:sz w:val="15"/>
                <w:szCs w:val="15"/>
              </w:rPr>
              <w:t xml:space="preserve">REVISION</w:t>
            </w:r>
          </w:p>
          <w:p>
            <w:pPr>
              <w:spacing w:after="180"/>
            </w:pPr>
            <w:r>
              <w:rPr>
                <w:rFonts w:ascii="Bell MT" w:cs="Bell MT" w:eastAsia="Bell MT" w:hAnsi="Bell MT"/>
                <w:color w:val="64766E"/>
                <w:sz w:val="20"/>
                <w:szCs w:val="20"/>
              </w:rPr>
              <w:t xml:space="preserve">01</w:t>
            </w:r>
          </w:p>
        </w:tc>
        <w:tc>
          <w:tcPr>
            <w:tcW w:type="dxa" w:w="4706"/>
            <w:tcMar>
              <w:top w:type="dxa" w:w="120"/>
              <w:left w:type="dxa" w:w="120"/>
              <w:bottom w:type="dxa" w:w="120"/>
              <w:right w:type="dxa" w:w="120"/>
            </w:tcMar>
            <w:vAlign w:val="center"/>
          </w:tcPr>
          <w:p>
            <w:pPr>
              <w:spacing w:after="80"/>
            </w:pPr>
            <w:r>
              <w:rPr>
                <w:rFonts w:ascii="Bell MT" w:cs="Bell MT" w:eastAsia="Bell MT" w:hAnsi="Bell MT"/>
                <w:color w:val="64766E"/>
                <w:sz w:val="15"/>
                <w:szCs w:val="15"/>
              </w:rPr>
              <w:t xml:space="preserve">NEXT REVIEW</w:t>
            </w:r>
          </w:p>
          <w:p>
            <w:pPr>
              <w:spacing w:after="180"/>
            </w:pPr>
            <w:r>
              <w:rPr>
                <w:rFonts w:ascii="Bell MT" w:cs="Bell MT" w:eastAsia="Bell MT" w:hAnsi="Bell MT"/>
                <w:color w:val="64766E"/>
                <w:sz w:val="20"/>
                <w:szCs w:val="20"/>
              </w:rPr>
              <w:t xml:space="preserve">2027-01-14</w:t>
            </w:r>
          </w:p>
        </w:tc>
      </w:tr>
    </w:tbl>
    <w:p>
      <w:r>
        <w:br w:type="page"/>
      </w:r>
    </w:p>
    <w:p>
      <w:pPr>
        <w:pStyle w:val="PolicyHeading"/>
        <w:spacing w:after="360"/>
        <w:jc w:val="left"/>
      </w:pPr>
      <w:r>
        <w:t xml:space="preserve">Contents</w:t>
      </w:r>
    </w:p>
    <w:p>
      <w:pPr>
        <w:pBdr>
          <w:bottom w:val="dotted" w:color="CFE0D9" w:sz="3" w:space="1"/>
        </w:pBdr>
        <w:spacing w:after="95" w:before="60"/>
      </w:pPr>
      <w:hyperlink w:history="1" w:anchor="standard-preface">
        <w:r>
          <w:rPr>
            <w:rFonts w:ascii="Bell MT" w:cs="Bell MT" w:eastAsia="Bell MT" w:hAnsi="Bell MT"/>
            <w:b/>
            <w:bCs/>
            <w:color w:val="2D685A"/>
            <w:sz w:val="20"/>
            <w:szCs w:val="20"/>
          </w:rPr>
          <w:t xml:space="preserve">01   </w:t>
        </w:r>
        <w:r>
          <w:rPr>
            <w:rFonts w:ascii="Bell MT" w:cs="Bell MT" w:eastAsia="Bell MT" w:hAnsi="Bell MT"/>
            <w:color w:val="1B443A"/>
            <w:sz w:val="20"/>
            <w:szCs w:val="20"/>
          </w:rPr>
          <w:t xml:space="preserve">Preface</w:t>
        </w:r>
      </w:hyperlink>
    </w:p>
    <w:p>
      <w:pPr>
        <w:pBdr>
          <w:bottom w:val="dotted" w:color="CFE0D9" w:sz="3" w:space="1"/>
        </w:pBdr>
        <w:spacing w:after="95" w:before="60"/>
      </w:pPr>
      <w:hyperlink w:history="1" w:anchor="standard-declaration">
        <w:r>
          <w:rPr>
            <w:rFonts w:ascii="Bell MT" w:cs="Bell MT" w:eastAsia="Bell MT" w:hAnsi="Bell MT"/>
            <w:b/>
            <w:bCs/>
            <w:color w:val="2D685A"/>
            <w:sz w:val="20"/>
            <w:szCs w:val="20"/>
          </w:rPr>
          <w:t xml:space="preserve">02   </w:t>
        </w:r>
        <w:r>
          <w:rPr>
            <w:rFonts w:ascii="Bell MT" w:cs="Bell MT" w:eastAsia="Bell MT" w:hAnsi="Bell MT"/>
            <w:color w:val="1B443A"/>
            <w:sz w:val="20"/>
            <w:szCs w:val="20"/>
          </w:rPr>
          <w:t xml:space="preserve">Policy Declaration</w:t>
        </w:r>
      </w:hyperlink>
    </w:p>
    <w:p>
      <w:pPr>
        <w:pBdr>
          <w:bottom w:val="dotted" w:color="CFE0D9" w:sz="3" w:space="1"/>
        </w:pBdr>
        <w:spacing w:after="95" w:before="60"/>
      </w:pPr>
      <w:hyperlink w:history="1" w:anchor="standard-scope">
        <w:r>
          <w:rPr>
            <w:rFonts w:ascii="Bell MT" w:cs="Bell MT" w:eastAsia="Bell MT" w:hAnsi="Bell MT"/>
            <w:b/>
            <w:bCs/>
            <w:color w:val="2D685A"/>
            <w:sz w:val="20"/>
            <w:szCs w:val="20"/>
          </w:rPr>
          <w:t xml:space="preserve">03   </w:t>
        </w:r>
        <w:r>
          <w:rPr>
            <w:rFonts w:ascii="Bell MT" w:cs="Bell MT" w:eastAsia="Bell MT" w:hAnsi="Bell MT"/>
            <w:color w:val="1B443A"/>
            <w:sz w:val="20"/>
            <w:szCs w:val="20"/>
          </w:rPr>
          <w:t xml:space="preserve">Scope</w:t>
        </w:r>
      </w:hyperlink>
    </w:p>
    <w:p>
      <w:pPr>
        <w:pBdr>
          <w:bottom w:val="dotted" w:color="CFE0D9" w:sz="3" w:space="1"/>
        </w:pBdr>
        <w:spacing w:after="95" w:before="60"/>
      </w:pPr>
      <w:hyperlink w:history="1" w:anchor="standard-focus">
        <w:r>
          <w:rPr>
            <w:rFonts w:ascii="Bell MT" w:cs="Bell MT" w:eastAsia="Bell MT" w:hAnsi="Bell MT"/>
            <w:b/>
            <w:bCs/>
            <w:color w:val="2D685A"/>
            <w:sz w:val="20"/>
            <w:szCs w:val="20"/>
          </w:rPr>
          <w:t xml:space="preserve">04   </w:t>
        </w:r>
        <w:r>
          <w:rPr>
            <w:rFonts w:ascii="Bell MT" w:cs="Bell MT" w:eastAsia="Bell MT" w:hAnsi="Bell MT"/>
            <w:color w:val="1B443A"/>
            <w:sz w:val="20"/>
            <w:szCs w:val="20"/>
          </w:rPr>
          <w:t xml:space="preserve">Key Focus Areas</w:t>
        </w:r>
      </w:hyperlink>
    </w:p>
    <w:p>
      <w:pPr>
        <w:pBdr>
          <w:bottom w:val="dotted" w:color="CFE0D9" w:sz="3" w:space="1"/>
        </w:pBdr>
        <w:spacing w:after="95" w:before="60"/>
      </w:pPr>
      <w:hyperlink w:history="1" w:anchor="standard-qualitative">
        <w:r>
          <w:rPr>
            <w:rFonts w:ascii="Bell MT" w:cs="Bell MT" w:eastAsia="Bell MT" w:hAnsi="Bell MT"/>
            <w:b/>
            <w:bCs/>
            <w:color w:val="2D685A"/>
            <w:sz w:val="20"/>
            <w:szCs w:val="20"/>
          </w:rPr>
          <w:t xml:space="preserve">05   </w:t>
        </w:r>
        <w:r>
          <w:rPr>
            <w:rFonts w:ascii="Bell MT" w:cs="Bell MT" w:eastAsia="Bell MT" w:hAnsi="Bell MT"/>
            <w:color w:val="1B443A"/>
            <w:sz w:val="20"/>
            <w:szCs w:val="20"/>
          </w:rPr>
          <w:t xml:space="preserve">Qualitative Objectives</w:t>
        </w:r>
      </w:hyperlink>
    </w:p>
    <w:p>
      <w:pPr>
        <w:pBdr>
          <w:bottom w:val="dotted" w:color="CFE0D9" w:sz="3" w:space="1"/>
        </w:pBdr>
        <w:spacing w:after="95" w:before="60"/>
      </w:pPr>
      <w:hyperlink w:history="1" w:anchor="standard-quantitative">
        <w:r>
          <w:rPr>
            <w:rFonts w:ascii="Bell MT" w:cs="Bell MT" w:eastAsia="Bell MT" w:hAnsi="Bell MT"/>
            <w:b/>
            <w:bCs/>
            <w:color w:val="2D685A"/>
            <w:sz w:val="20"/>
            <w:szCs w:val="20"/>
          </w:rPr>
          <w:t xml:space="preserve">06   </w:t>
        </w:r>
        <w:r>
          <w:rPr>
            <w:rFonts w:ascii="Bell MT" w:cs="Bell MT" w:eastAsia="Bell MT" w:hAnsi="Bell MT"/>
            <w:color w:val="1B443A"/>
            <w:sz w:val="20"/>
            <w:szCs w:val="20"/>
          </w:rPr>
          <w:t xml:space="preserve">Quantitative Targets</w:t>
        </w:r>
      </w:hyperlink>
    </w:p>
    <w:p>
      <w:pPr>
        <w:pBdr>
          <w:bottom w:val="dotted" w:color="CFE0D9" w:sz="3" w:space="1"/>
        </w:pBdr>
        <w:spacing w:after="95" w:before="60"/>
      </w:pPr>
      <w:hyperlink w:history="1" w:anchor="standard-sdg">
        <w:r>
          <w:rPr>
            <w:rFonts w:ascii="Bell MT" w:cs="Bell MT" w:eastAsia="Bell MT" w:hAnsi="Bell MT"/>
            <w:b/>
            <w:bCs/>
            <w:color w:val="2D685A"/>
            <w:sz w:val="20"/>
            <w:szCs w:val="20"/>
          </w:rPr>
          <w:t xml:space="preserve">07   </w:t>
        </w:r>
        <w:r>
          <w:rPr>
            <w:rFonts w:ascii="Bell MT" w:cs="Bell MT" w:eastAsia="Bell MT" w:hAnsi="Bell MT"/>
            <w:color w:val="1B443A"/>
            <w:sz w:val="20"/>
            <w:szCs w:val="20"/>
          </w:rPr>
          <w:t xml:space="preserve">SDG Alignment</w:t>
        </w:r>
      </w:hyperlink>
    </w:p>
    <w:p>
      <w:pPr>
        <w:pBdr>
          <w:bottom w:val="dotted" w:color="CFE0D9" w:sz="3" w:space="1"/>
        </w:pBdr>
        <w:spacing w:after="95" w:before="60"/>
      </w:pPr>
      <w:hyperlink w:history="1" w:anchor="standard-responsibilities">
        <w:r>
          <w:rPr>
            <w:rFonts w:ascii="Bell MT" w:cs="Bell MT" w:eastAsia="Bell MT" w:hAnsi="Bell MT"/>
            <w:b/>
            <w:bCs/>
            <w:color w:val="2D685A"/>
            <w:sz w:val="20"/>
            <w:szCs w:val="20"/>
          </w:rPr>
          <w:t xml:space="preserve">08   </w:t>
        </w:r>
        <w:r>
          <w:rPr>
            <w:rFonts w:ascii="Bell MT" w:cs="Bell MT" w:eastAsia="Bell MT" w:hAnsi="Bell MT"/>
            <w:color w:val="1B443A"/>
            <w:sz w:val="20"/>
            <w:szCs w:val="20"/>
          </w:rPr>
          <w:t xml:space="preserve">Roles &amp; Responsibilities</w:t>
        </w:r>
      </w:hyperlink>
    </w:p>
    <w:p>
      <w:pPr>
        <w:pBdr>
          <w:bottom w:val="dotted" w:color="CFE0D9" w:sz="3" w:space="1"/>
        </w:pBdr>
        <w:spacing w:after="95" w:before="60"/>
      </w:pPr>
      <w:hyperlink w:history="1" w:anchor="standard-monitoring">
        <w:r>
          <w:rPr>
            <w:rFonts w:ascii="Bell MT" w:cs="Bell MT" w:eastAsia="Bell MT" w:hAnsi="Bell MT"/>
            <w:b/>
            <w:bCs/>
            <w:color w:val="2D685A"/>
            <w:sz w:val="20"/>
            <w:szCs w:val="20"/>
          </w:rPr>
          <w:t xml:space="preserve">09   </w:t>
        </w:r>
        <w:r>
          <w:rPr>
            <w:rFonts w:ascii="Bell MT" w:cs="Bell MT" w:eastAsia="Bell MT" w:hAnsi="Bell MT"/>
            <w:color w:val="1B443A"/>
            <w:sz w:val="20"/>
            <w:szCs w:val="20"/>
          </w:rPr>
          <w:t xml:space="preserve">Monitoring, Reporting &amp; Transparency</w:t>
        </w:r>
      </w:hyperlink>
    </w:p>
    <w:p>
      <w:pPr>
        <w:pBdr>
          <w:bottom w:val="dotted" w:color="CFE0D9" w:sz="3" w:space="1"/>
        </w:pBdr>
        <w:spacing w:after="95" w:before="60"/>
      </w:pPr>
      <w:hyperlink w:history="1" w:anchor="standard-review">
        <w:r>
          <w:rPr>
            <w:rFonts w:ascii="Bell MT" w:cs="Bell MT" w:eastAsia="Bell MT" w:hAnsi="Bell MT"/>
            <w:b/>
            <w:bCs/>
            <w:color w:val="2D685A"/>
            <w:sz w:val="20"/>
            <w:szCs w:val="20"/>
          </w:rPr>
          <w:t xml:space="preserve">10   </w:t>
        </w:r>
        <w:r>
          <w:rPr>
            <w:rFonts w:ascii="Bell MT" w:cs="Bell MT" w:eastAsia="Bell MT" w:hAnsi="Bell MT"/>
            <w:color w:val="1B443A"/>
            <w:sz w:val="20"/>
            <w:szCs w:val="20"/>
          </w:rPr>
          <w:t xml:space="preserve">Review Mechanism &amp; Continuous Improvement</w:t>
        </w:r>
      </w:hyperlink>
    </w:p>
    <w:p>
      <w:r>
        <w:br w:type="page"/>
      </w:r>
    </w:p>
    <w:p>
      <w:pPr>
        <w:pStyle w:val="PolicyHeading"/>
        <w:pBdr>
          <w:bottom w:val="single" w:color="2D685A" w:sz="4" w:space="1"/>
        </w:pBdr>
        <w:spacing w:after="180" w:before="260"/>
        <w:jc w:val="left"/>
      </w:pPr>
      <w:bookmarkStart w:name="standard-preface" w:id="1"/>
      <w:bookmarkEnd w:id="1"/>
      <w:r>
        <w:rPr>
          <w:rFonts w:ascii="Bell MT" w:cs="Bell MT" w:eastAsia="Bell MT" w:hAnsi="Bell MT"/>
          <w:color w:val="64766E"/>
          <w:sz w:val="20"/>
          <w:szCs w:val="20"/>
        </w:rPr>
        <w:t xml:space="preserve">01   </w:t>
      </w:r>
      <w:r>
        <w:rPr>
          <w:rFonts w:ascii="Bell MT" w:cs="Bell MT" w:eastAsia="Bell MT" w:hAnsi="Bell MT"/>
          <w:b/>
          <w:bCs/>
          <w:color w:val="1B443A"/>
          <w:sz w:val="34"/>
          <w:szCs w:val="34"/>
        </w:rPr>
        <w:t xml:space="preserve">Preface</w:t>
      </w:r>
    </w:p>
    <w:p>
      <w:pPr>
        <w:pStyle w:val="PolicyBody"/>
        <w:spacing w:after="150" w:line="348"/>
        <w:jc w:val="both"/>
      </w:pPr>
      <w:r>
        <w:rPr>
          <w:rFonts w:ascii="Bell MT" w:cs="Bell MT" w:eastAsia="Bell MT" w:hAnsi="Bell MT"/>
          <w:sz w:val="22"/>
          <w:szCs w:val="22"/>
        </w:rPr>
        <w:t xml:space="preserve">Labour &amp; Human Rights Policy provides a consistent framework for Acme Specialty Chemicals Pvt. Ltd. to define responsibilities, make decisions, and review performance across its activities and locations.</w:t>
      </w:r>
    </w:p>
    <w:p>
      <w:pPr>
        <w:spacing w:before="165"/>
      </w:pPr>
      <w:r>
        <w:rPr>
          <w:sz w:val="2"/>
          <w:szCs w:val="2"/>
        </w:rPr>
        <w:t xml:space="preserve"> </w:t>
      </w:r>
    </w:p>
    <w:p>
      <w:pPr>
        <w:pStyle w:val="PolicyHeading"/>
        <w:pBdr>
          <w:bottom w:val="single" w:color="2D685A" w:sz="4" w:space="1"/>
        </w:pBdr>
        <w:spacing w:after="180" w:before="260"/>
        <w:jc w:val="left"/>
      </w:pPr>
      <w:bookmarkStart w:name="standard-declaration" w:id="1"/>
      <w:bookmarkEnd w:id="1"/>
      <w:r>
        <w:rPr>
          <w:rFonts w:ascii="Bell MT" w:cs="Bell MT" w:eastAsia="Bell MT" w:hAnsi="Bell MT"/>
          <w:color w:val="64766E"/>
          <w:sz w:val="20"/>
          <w:szCs w:val="20"/>
        </w:rPr>
        <w:t xml:space="preserve">02   </w:t>
      </w:r>
      <w:r>
        <w:rPr>
          <w:rFonts w:ascii="Bell MT" w:cs="Bell MT" w:eastAsia="Bell MT" w:hAnsi="Bell MT"/>
          <w:b/>
          <w:bCs/>
          <w:color w:val="1B443A"/>
          <w:sz w:val="34"/>
          <w:szCs w:val="34"/>
        </w:rPr>
        <w:t xml:space="preserve">Policy Declaration</w:t>
      </w:r>
    </w:p>
    <w:p>
      <w:pPr>
        <w:pStyle w:val="PolicyBody"/>
        <w:spacing w:after="150" w:line="348"/>
        <w:jc w:val="both"/>
      </w:pPr>
      <w:r>
        <w:rPr>
          <w:rFonts w:ascii="Bell MT" w:cs="Bell MT" w:eastAsia="Bell MT" w:hAnsi="Bell MT"/>
          <w:sz w:val="22"/>
          <w:szCs w:val="22"/>
        </w:rPr>
        <w:t xml:space="preserve">Acme Specialty Chemicals affirms its commitment to implementing this Labour &amp; Human Rights Policy in line with applicable requirements, proportionate controls, and regular management review.</w:t>
      </w:r>
    </w:p>
    <w:p>
      <w:pPr>
        <w:spacing w:before="165"/>
      </w:pPr>
      <w:r>
        <w:rPr>
          <w:sz w:val="2"/>
          <w:szCs w:val="2"/>
        </w:rPr>
        <w:t xml:space="preserve"> </w:t>
      </w:r>
    </w:p>
    <w:p>
      <w:pPr>
        <w:pStyle w:val="PolicyHeading"/>
        <w:pBdr>
          <w:bottom w:val="single" w:color="2D685A" w:sz="4" w:space="1"/>
        </w:pBdr>
        <w:spacing w:after="180" w:before="260"/>
        <w:jc w:val="left"/>
      </w:pPr>
      <w:bookmarkStart w:name="standard-scope" w:id="1"/>
      <w:bookmarkEnd w:id="1"/>
      <w:r>
        <w:rPr>
          <w:rFonts w:ascii="Bell MT" w:cs="Bell MT" w:eastAsia="Bell MT" w:hAnsi="Bell MT"/>
          <w:color w:val="64766E"/>
          <w:sz w:val="20"/>
          <w:szCs w:val="20"/>
        </w:rPr>
        <w:t xml:space="preserve">03   </w:t>
      </w:r>
      <w:r>
        <w:rPr>
          <w:rFonts w:ascii="Bell MT" w:cs="Bell MT" w:eastAsia="Bell MT" w:hAnsi="Bell MT"/>
          <w:b/>
          <w:bCs/>
          <w:color w:val="1B443A"/>
          <w:sz w:val="34"/>
          <w:szCs w:val="34"/>
        </w:rPr>
        <w:t xml:space="preserve">Scope</w:t>
      </w:r>
    </w:p>
    <w:p>
      <w:pPr>
        <w:pStyle w:val="PolicyBody"/>
        <w:spacing w:after="150" w:line="348"/>
        <w:jc w:val="both"/>
      </w:pPr>
      <w:r>
        <w:rPr>
          <w:rFonts w:ascii="Bell MT" w:cs="Bell MT" w:eastAsia="Bell MT" w:hAnsi="Bell MT"/>
          <w:sz w:val="22"/>
          <w:szCs w:val="22"/>
        </w:rPr>
        <w:t xml:space="preserve">This Labour &amp; Human Rights Policy applies to the operations, workers, business relationships, and locations identified by Acme Specialty Chemicals Pvt. Ltd., including manufacturing, R&amp;D, warehousing, logistics, and corporate functions.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280"/>
        <w:gridCol w:w="4750"/>
        <w:gridCol w:w="2382"/>
      </w:tblGrid>
      <w:tr>
        <w:trPr>
          <w:cantSplit/>
          <w:tblHeader/>
        </w:trPr>
        <w:tc>
          <w:tcPr>
            <w:tcW w:type="dxa" w:w="2280"/>
            <w:tcBorders>
              <w:top w:val="single" w:color="CFE0D9" w:sz="5" w:space="1"/>
              <w:left w:val="single" w:color="CFE0D9" w:sz="5" w:space="1"/>
              <w:bottom w:val="single" w:color="CFE0D9" w:sz="5" w:space="1"/>
              <w:right w:val="single" w:color="CFE0D9" w:sz="5" w:space="1"/>
            </w:tcBorders>
            <w:shd w:fill="2D685A" w:color="2D685A" w:val="solid"/>
            <w:tcMar>
              <w:top w:type="dxa" w:w="120"/>
              <w:left w:type="dxa" w:w="120"/>
              <w:bottom w:type="dxa" w:w="120"/>
              <w:right w:type="dxa" w:w="120"/>
            </w:tcMar>
            <w:vAlign w:val="center"/>
          </w:tcPr>
          <w:p>
            <w:r>
              <w:rPr>
                <w:b/>
                <w:bCs/>
                <w:color w:val="FFFFFF"/>
                <w:sz w:val="17"/>
                <w:szCs w:val="17"/>
              </w:rPr>
              <w:t xml:space="preserve">Location / Unit</w:t>
            </w:r>
          </w:p>
        </w:tc>
        <w:tc>
          <w:tcPr>
            <w:tcW w:type="dxa" w:w="4750"/>
            <w:tcBorders>
              <w:top w:val="single" w:color="CFE0D9" w:sz="5" w:space="1"/>
              <w:left w:val="single" w:color="CFE0D9" w:sz="5" w:space="1"/>
              <w:bottom w:val="single" w:color="CFE0D9" w:sz="5" w:space="1"/>
              <w:right w:val="single" w:color="CFE0D9" w:sz="5" w:space="1"/>
            </w:tcBorders>
            <w:shd w:fill="2D685A" w:color="2D685A" w:val="solid"/>
            <w:tcMar>
              <w:top w:type="dxa" w:w="120"/>
              <w:left w:type="dxa" w:w="120"/>
              <w:bottom w:type="dxa" w:w="120"/>
              <w:right w:type="dxa" w:w="120"/>
            </w:tcMar>
            <w:vAlign w:val="center"/>
          </w:tcPr>
          <w:p>
            <w:r>
              <w:rPr>
                <w:b/>
                <w:bCs/>
                <w:color w:val="FFFFFF"/>
                <w:sz w:val="17"/>
                <w:szCs w:val="17"/>
              </w:rPr>
              <w:t xml:space="preserve">Address</w:t>
            </w:r>
          </w:p>
        </w:tc>
        <w:tc>
          <w:tcPr>
            <w:tcW w:type="dxa" w:w="2382"/>
            <w:tcBorders>
              <w:top w:val="single" w:color="CFE0D9" w:sz="5" w:space="1"/>
              <w:left w:val="single" w:color="CFE0D9" w:sz="5" w:space="1"/>
              <w:bottom w:val="single" w:color="CFE0D9" w:sz="5" w:space="1"/>
              <w:right w:val="single" w:color="CFE0D9" w:sz="5" w:space="1"/>
            </w:tcBorders>
            <w:shd w:fill="2D685A" w:color="2D685A" w:val="solid"/>
            <w:tcMar>
              <w:top w:type="dxa" w:w="120"/>
              <w:left w:type="dxa" w:w="120"/>
              <w:bottom w:type="dxa" w:w="120"/>
              <w:right w:type="dxa" w:w="120"/>
            </w:tcMar>
            <w:vAlign w:val="center"/>
          </w:tcPr>
          <w:p>
            <w:r>
              <w:rPr>
                <w:b/>
                <w:bCs/>
                <w:color w:val="FFFFFF"/>
                <w:sz w:val="17"/>
                <w:szCs w:val="17"/>
              </w:rPr>
              <w:t xml:space="preserve">Primary Function</w:t>
            </w:r>
          </w:p>
        </w:tc>
      </w:tr>
      <w:tr>
        <w:trPr>
          <w:cantSplit/>
        </w:trPr>
        <w:tc>
          <w:tcPr>
            <w:tcW w:type="dxa" w:w="2280"/>
            <w:tcBorders>
              <w:top w:val="single" w:color="CFE0D9" w:sz="5" w:space="1"/>
              <w:left w:val="single" w:color="CFE0D9" w:sz="5" w:space="1"/>
              <w:bottom w:val="single" w:color="CFE0D9" w:sz="5" w:space="1"/>
              <w:right w:val="single" w:color="CFE0D9" w:sz="5" w:space="1"/>
            </w:tcBorders>
            <w:tcMar>
              <w:top w:type="dxa" w:w="120"/>
              <w:left w:type="dxa" w:w="120"/>
              <w:bottom w:type="dxa" w:w="120"/>
              <w:right w:type="dxa" w:w="120"/>
            </w:tcMar>
            <w:vAlign w:val="center"/>
          </w:tcPr>
          <w:p>
            <w:r>
              <w:rPr>
                <w:b/>
                <w:bCs/>
                <w:sz w:val="17"/>
                <w:szCs w:val="17"/>
              </w:rPr>
              <w:t xml:space="preserve">Manesar Plant</w:t>
            </w:r>
          </w:p>
        </w:tc>
        <w:tc>
          <w:tcPr>
            <w:tcW w:type="dxa" w:w="4750"/>
            <w:tcBorders>
              <w:top w:val="single" w:color="CFE0D9" w:sz="5" w:space="1"/>
              <w:left w:val="single" w:color="CFE0D9" w:sz="5" w:space="1"/>
              <w:bottom w:val="single" w:color="CFE0D9" w:sz="5" w:space="1"/>
              <w:right w:val="single" w:color="CFE0D9" w:sz="5"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382"/>
            <w:tcBorders>
              <w:top w:val="single" w:color="CFE0D9" w:sz="5" w:space="1"/>
              <w:left w:val="single" w:color="CFE0D9" w:sz="5" w:space="1"/>
              <w:bottom w:val="single" w:color="CFE0D9" w:sz="5" w:space="1"/>
              <w:right w:val="single" w:color="CFE0D9" w:sz="5"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65"/>
      </w:pPr>
      <w:r>
        <w:rPr>
          <w:sz w:val="2"/>
          <w:szCs w:val="2"/>
        </w:rPr>
        <w:t xml:space="preserve"> </w:t>
      </w:r>
    </w:p>
    <w:p>
      <w:pPr>
        <w:pStyle w:val="PolicyHeading"/>
        <w:pBdr>
          <w:bottom w:val="single" w:color="2D685A" w:sz="4" w:space="1"/>
        </w:pBdr>
        <w:spacing w:after="180" w:before="260"/>
        <w:jc w:val="left"/>
      </w:pPr>
      <w:bookmarkStart w:name="standard-focus" w:id="1"/>
      <w:bookmarkEnd w:id="1"/>
      <w:r>
        <w:rPr>
          <w:rFonts w:ascii="Bell MT" w:cs="Bell MT" w:eastAsia="Bell MT" w:hAnsi="Bell MT"/>
          <w:color w:val="64766E"/>
          <w:sz w:val="20"/>
          <w:szCs w:val="20"/>
        </w:rPr>
        <w:t xml:space="preserve">04   </w:t>
      </w:r>
      <w:r>
        <w:rPr>
          <w:rFonts w:ascii="Bell MT" w:cs="Bell MT" w:eastAsia="Bell MT" w:hAnsi="Bell MT"/>
          <w:b/>
          <w:bCs/>
          <w:color w:val="1B443A"/>
          <w:sz w:val="34"/>
          <w:szCs w:val="34"/>
        </w:rPr>
        <w:t xml:space="preserve">Key Focus Areas</w:t>
      </w:r>
    </w:p>
    <w:tbl>
      <w:tblPr>
        <w:tblW w:type="dxa" w:w="925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CellSpacing w:type="dxa" w:w="80"/>
      </w:tblPr>
      <w:tblGrid>
        <w:gridCol w:w="4626"/>
        <w:gridCol w:w="4626"/>
      </w:tblGrid>
      <w:tr>
        <w:trPr>
          <w:cantSplit/>
        </w:trPr>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01</w:t>
            </w:r>
            <w:r>
              <w:rPr>
                <w:rFonts w:ascii="Bell MT" w:cs="Bell MT" w:eastAsia="Bell MT" w:hAnsi="Bell MT"/>
                <w:b/>
                <w:bCs/>
                <w:color w:val="1D2925"/>
                <w:sz w:val="26"/>
                <w:szCs w:val="26"/>
              </w:rPr>
              <w:t xml:space="preserve">  Occupational Health &amp; Safety</w:t>
            </w:r>
          </w:p>
        </w:tc>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02</w:t>
            </w:r>
            <w:r>
              <w:rPr>
                <w:rFonts w:ascii="Bell MT" w:cs="Bell MT" w:eastAsia="Bell MT" w:hAnsi="Bell MT"/>
                <w:b/>
                <w:bCs/>
                <w:color w:val="1D2925"/>
                <w:sz w:val="26"/>
                <w:szCs w:val="26"/>
              </w:rPr>
              <w:t xml:space="preserve">  Fair Working Conditions, Hours &amp; Benefits</w:t>
            </w:r>
          </w:p>
        </w:tc>
      </w:tr>
      <w:tr>
        <w:trPr>
          <w:cantSplit/>
        </w:trPr>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03</w:t>
            </w:r>
            <w:r>
              <w:rPr>
                <w:rFonts w:ascii="Bell MT" w:cs="Bell MT" w:eastAsia="Bell MT" w:hAnsi="Bell MT"/>
                <w:b/>
                <w:bCs/>
                <w:color w:val="1D2925"/>
                <w:sz w:val="26"/>
                <w:szCs w:val="26"/>
              </w:rPr>
              <w:t xml:space="preserve">  Social Dialogue &amp; Freedom of Association</w:t>
            </w:r>
          </w:p>
        </w:tc>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04</w:t>
            </w:r>
            <w:r>
              <w:rPr>
                <w:rFonts w:ascii="Bell MT" w:cs="Bell MT" w:eastAsia="Bell MT" w:hAnsi="Bell MT"/>
                <w:b/>
                <w:bCs/>
                <w:color w:val="1D2925"/>
                <w:sz w:val="26"/>
                <w:szCs w:val="26"/>
              </w:rPr>
              <w:t xml:space="preserve">  Career Development &amp; Training</w:t>
            </w:r>
          </w:p>
        </w:tc>
      </w:tr>
      <w:tr>
        <w:trPr>
          <w:cantSplit/>
        </w:trPr>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05</w:t>
            </w:r>
            <w:r>
              <w:rPr>
                <w:rFonts w:ascii="Bell MT" w:cs="Bell MT" w:eastAsia="Bell MT" w:hAnsi="Bell MT"/>
                <w:b/>
                <w:bCs/>
                <w:color w:val="1D2925"/>
                <w:sz w:val="26"/>
                <w:szCs w:val="26"/>
              </w:rPr>
              <w:t xml:space="preserve">  Child Labour, Forced Labour &amp; Modern Slavery</w:t>
            </w:r>
          </w:p>
        </w:tc>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r>
              <w:t xml:space="preserve"/>
            </w:r>
          </w:p>
        </w:tc>
      </w:tr>
    </w:tbl>
    <w:p>
      <w:pPr>
        <w:spacing w:before="165"/>
      </w:pPr>
      <w:r>
        <w:rPr>
          <w:sz w:val="2"/>
          <w:szCs w:val="2"/>
        </w:rPr>
        <w:t xml:space="preserve"> </w:t>
      </w:r>
    </w:p>
    <w:p>
      <w:pPr>
        <w:pStyle w:val="PolicyHeading"/>
        <w:pBdr>
          <w:bottom w:val="single" w:color="2D685A" w:sz="4" w:space="1"/>
        </w:pBdr>
        <w:spacing w:after="180" w:before="260"/>
        <w:jc w:val="left"/>
      </w:pPr>
      <w:bookmarkStart w:name="standard-qualitative" w:id="1"/>
      <w:bookmarkEnd w:id="1"/>
      <w:r>
        <w:rPr>
          <w:rFonts w:ascii="Bell MT" w:cs="Bell MT" w:eastAsia="Bell MT" w:hAnsi="Bell MT"/>
          <w:color w:val="64766E"/>
          <w:sz w:val="20"/>
          <w:szCs w:val="20"/>
        </w:rPr>
        <w:t xml:space="preserve">05   </w:t>
      </w:r>
      <w:r>
        <w:rPr>
          <w:rFonts w:ascii="Bell MT" w:cs="Bell MT" w:eastAsia="Bell MT" w:hAnsi="Bell MT"/>
          <w:b/>
          <w:bCs/>
          <w:color w:val="1B443A"/>
          <w:sz w:val="34"/>
          <w:szCs w:val="34"/>
        </w:rPr>
        <w:t xml:space="preserve">Qualitative Objectives</w:t>
      </w:r>
    </w:p>
    <w:p>
      <w:pPr>
        <w:spacing w:after="90"/>
      </w:pPr>
      <w:r>
        <w:rPr>
          <w:rFonts w:ascii="Bell MT" w:cs="Bell MT" w:eastAsia="Bell MT" w:hAnsi="Bell MT"/>
          <w:b/>
          <w:bCs/>
          <w:color w:val="2D685A"/>
          <w:sz w:val="18"/>
          <w:szCs w:val="18"/>
        </w:rPr>
        <w:t xml:space="preserve">01  </w:t>
      </w:r>
      <w:r>
        <w:rPr>
          <w:rFonts w:ascii="Bell MT" w:cs="Bell MT" w:eastAsia="Bell MT" w:hAnsi="Bell MT"/>
          <w:b/>
          <w:bCs/>
          <w:color w:val="1B443A"/>
          <w:sz w:val="26"/>
          <w:szCs w:val="26"/>
        </w:rPr>
        <w:t xml:space="preserve">Occupational Health &amp; Safety</w:t>
      </w:r>
    </w:p>
    <w:p>
      <w:pPr>
        <w:pStyle w:val="PolicyBody"/>
        <w:numPr>
          <w:ilvl w:val="0"/>
          <w:numId w:val="2"/>
        </w:numPr>
        <w:spacing w:after="90" w:line="348"/>
      </w:pPr>
      <w:r>
        <w:rPr>
          <w:rFonts w:ascii="Bell MT" w:cs="Bell MT" w:eastAsia="Bell MT" w:hAnsi="Bell MT"/>
          <w:color w:val="1D2925"/>
          <w:sz w:val="22"/>
          <w:szCs w:val="22"/>
        </w:rPr>
        <w:t xml:space="preserve">Assign accountable ownership and approved procedures for occupational health &amp; safety.</w:t>
      </w:r>
    </w:p>
    <w:p>
      <w:pPr>
        <w:pStyle w:val="PolicyBody"/>
        <w:numPr>
          <w:ilvl w:val="0"/>
          <w:numId w:val="2"/>
        </w:numPr>
        <w:spacing w:after="90" w:line="348"/>
      </w:pPr>
      <w:r>
        <w:rPr>
          <w:rFonts w:ascii="Bell MT" w:cs="Bell MT" w:eastAsia="Bell MT" w:hAnsi="Bell MT"/>
          <w:color w:val="1D2925"/>
          <w:sz w:val="22"/>
          <w:szCs w:val="22"/>
        </w:rPr>
        <w:t xml:space="preserve">Identify material risks and improvement opportunities related to occupational health &amp; safety.</w:t>
      </w:r>
    </w:p>
    <w:p>
      <w:pPr>
        <w:pStyle w:val="PolicyBody"/>
        <w:numPr>
          <w:ilvl w:val="0"/>
          <w:numId w:val="2"/>
        </w:numPr>
        <w:spacing w:after="90" w:line="348"/>
      </w:pPr>
      <w:r>
        <w:rPr>
          <w:rFonts w:ascii="Bell MT" w:cs="Bell MT" w:eastAsia="Bell MT" w:hAnsi="Bell MT"/>
          <w:color w:val="1D2925"/>
          <w:sz w:val="22"/>
          <w:szCs w:val="22"/>
        </w:rPr>
        <w:t xml:space="preserve">Define measures, evidence sources and review frequency for occupational health &amp; safety.</w:t>
      </w:r>
    </w:p>
    <w:p>
      <w:pPr>
        <w:spacing w:before="70"/>
      </w:pPr>
      <w:r>
        <w:rPr>
          <w:sz w:val="2"/>
          <w:szCs w:val="2"/>
        </w:rPr>
        <w:t xml:space="preserve"> </w:t>
      </w:r>
    </w:p>
    <w:p>
      <w:pPr>
        <w:spacing w:after="90"/>
      </w:pPr>
      <w:r>
        <w:rPr>
          <w:rFonts w:ascii="Bell MT" w:cs="Bell MT" w:eastAsia="Bell MT" w:hAnsi="Bell MT"/>
          <w:b/>
          <w:bCs/>
          <w:color w:val="2D685A"/>
          <w:sz w:val="18"/>
          <w:szCs w:val="18"/>
        </w:rPr>
        <w:t xml:space="preserve">02  </w:t>
      </w:r>
      <w:r>
        <w:rPr>
          <w:rFonts w:ascii="Bell MT" w:cs="Bell MT" w:eastAsia="Bell MT" w:hAnsi="Bell MT"/>
          <w:b/>
          <w:bCs/>
          <w:color w:val="1B443A"/>
          <w:sz w:val="26"/>
          <w:szCs w:val="26"/>
        </w:rPr>
        <w:t xml:space="preserve">Fair Working Conditions, Hours &amp; Benefits</w:t>
      </w:r>
    </w:p>
    <w:p>
      <w:pPr>
        <w:pStyle w:val="PolicyBody"/>
        <w:numPr>
          <w:ilvl w:val="0"/>
          <w:numId w:val="2"/>
        </w:numPr>
        <w:spacing w:after="90" w:line="348"/>
      </w:pPr>
      <w:r>
        <w:rPr>
          <w:rFonts w:ascii="Bell MT" w:cs="Bell MT" w:eastAsia="Bell MT" w:hAnsi="Bell MT"/>
          <w:color w:val="1D2925"/>
          <w:sz w:val="22"/>
          <w:szCs w:val="22"/>
        </w:rPr>
        <w:t xml:space="preserve">Assign accountable ownership and approved procedures for fair working conditions, hours &amp; benefits.</w:t>
      </w:r>
    </w:p>
    <w:p>
      <w:pPr>
        <w:pStyle w:val="PolicyBody"/>
        <w:numPr>
          <w:ilvl w:val="0"/>
          <w:numId w:val="2"/>
        </w:numPr>
        <w:spacing w:after="90" w:line="348"/>
      </w:pPr>
      <w:r>
        <w:rPr>
          <w:rFonts w:ascii="Bell MT" w:cs="Bell MT" w:eastAsia="Bell MT" w:hAnsi="Bell MT"/>
          <w:color w:val="1D2925"/>
          <w:sz w:val="22"/>
          <w:szCs w:val="22"/>
        </w:rPr>
        <w:t xml:space="preserve">Identify material risks and improvement opportunities related to fair working conditions, hours &amp; benefits.</w:t>
      </w:r>
    </w:p>
    <w:p>
      <w:pPr>
        <w:pStyle w:val="PolicyBody"/>
        <w:numPr>
          <w:ilvl w:val="0"/>
          <w:numId w:val="2"/>
        </w:numPr>
        <w:spacing w:after="90" w:line="348"/>
      </w:pPr>
      <w:r>
        <w:rPr>
          <w:rFonts w:ascii="Bell MT" w:cs="Bell MT" w:eastAsia="Bell MT" w:hAnsi="Bell MT"/>
          <w:color w:val="1D2925"/>
          <w:sz w:val="22"/>
          <w:szCs w:val="22"/>
        </w:rPr>
        <w:t xml:space="preserve">Define measures, evidence sources and review frequency for fair working conditions, hours &amp; benefits.</w:t>
      </w:r>
    </w:p>
    <w:p>
      <w:pPr>
        <w:spacing w:before="70"/>
      </w:pPr>
      <w:r>
        <w:rPr>
          <w:sz w:val="2"/>
          <w:szCs w:val="2"/>
        </w:rPr>
        <w:t xml:space="preserve"> </w:t>
      </w:r>
    </w:p>
    <w:p>
      <w:pPr>
        <w:spacing w:after="90"/>
      </w:pPr>
      <w:r>
        <w:rPr>
          <w:rFonts w:ascii="Bell MT" w:cs="Bell MT" w:eastAsia="Bell MT" w:hAnsi="Bell MT"/>
          <w:b/>
          <w:bCs/>
          <w:color w:val="2D685A"/>
          <w:sz w:val="18"/>
          <w:szCs w:val="18"/>
        </w:rPr>
        <w:t xml:space="preserve">03  </w:t>
      </w:r>
      <w:r>
        <w:rPr>
          <w:rFonts w:ascii="Bell MT" w:cs="Bell MT" w:eastAsia="Bell MT" w:hAnsi="Bell MT"/>
          <w:b/>
          <w:bCs/>
          <w:color w:val="1B443A"/>
          <w:sz w:val="26"/>
          <w:szCs w:val="26"/>
        </w:rPr>
        <w:t xml:space="preserve">Social Dialogue &amp; Freedom of Association</w:t>
      </w:r>
    </w:p>
    <w:p>
      <w:pPr>
        <w:pStyle w:val="PolicyBody"/>
        <w:numPr>
          <w:ilvl w:val="0"/>
          <w:numId w:val="2"/>
        </w:numPr>
        <w:spacing w:after="90" w:line="348"/>
      </w:pPr>
      <w:r>
        <w:rPr>
          <w:rFonts w:ascii="Bell MT" w:cs="Bell MT" w:eastAsia="Bell MT" w:hAnsi="Bell MT"/>
          <w:color w:val="1D2925"/>
          <w:sz w:val="22"/>
          <w:szCs w:val="22"/>
        </w:rPr>
        <w:t xml:space="preserve">Assign accountable ownership and approved procedures for social dialogue &amp; freedom of association.</w:t>
      </w:r>
    </w:p>
    <w:p>
      <w:pPr>
        <w:pStyle w:val="PolicyBody"/>
        <w:numPr>
          <w:ilvl w:val="0"/>
          <w:numId w:val="2"/>
        </w:numPr>
        <w:spacing w:after="90" w:line="348"/>
      </w:pPr>
      <w:r>
        <w:rPr>
          <w:rFonts w:ascii="Bell MT" w:cs="Bell MT" w:eastAsia="Bell MT" w:hAnsi="Bell MT"/>
          <w:color w:val="1D2925"/>
          <w:sz w:val="22"/>
          <w:szCs w:val="22"/>
        </w:rPr>
        <w:t xml:space="preserve">Identify material risks and improvement opportunities related to social dialogue &amp; freedom of association.</w:t>
      </w:r>
    </w:p>
    <w:p>
      <w:pPr>
        <w:pStyle w:val="PolicyBody"/>
        <w:numPr>
          <w:ilvl w:val="0"/>
          <w:numId w:val="2"/>
        </w:numPr>
        <w:spacing w:after="90" w:line="348"/>
      </w:pPr>
      <w:r>
        <w:rPr>
          <w:rFonts w:ascii="Bell MT" w:cs="Bell MT" w:eastAsia="Bell MT" w:hAnsi="Bell MT"/>
          <w:color w:val="1D2925"/>
          <w:sz w:val="22"/>
          <w:szCs w:val="22"/>
        </w:rPr>
        <w:t xml:space="preserve">Define measures, evidence sources and review frequency for social dialogue &amp; freedom of association.</w:t>
      </w:r>
    </w:p>
    <w:p>
      <w:pPr>
        <w:spacing w:before="70"/>
      </w:pPr>
      <w:r>
        <w:rPr>
          <w:sz w:val="2"/>
          <w:szCs w:val="2"/>
        </w:rPr>
        <w:t xml:space="preserve"> </w:t>
      </w:r>
    </w:p>
    <w:p>
      <w:pPr>
        <w:spacing w:after="90"/>
      </w:pPr>
      <w:r>
        <w:rPr>
          <w:rFonts w:ascii="Bell MT" w:cs="Bell MT" w:eastAsia="Bell MT" w:hAnsi="Bell MT"/>
          <w:b/>
          <w:bCs/>
          <w:color w:val="2D685A"/>
          <w:sz w:val="18"/>
          <w:szCs w:val="18"/>
        </w:rPr>
        <w:t xml:space="preserve">04  </w:t>
      </w:r>
      <w:r>
        <w:rPr>
          <w:rFonts w:ascii="Bell MT" w:cs="Bell MT" w:eastAsia="Bell MT" w:hAnsi="Bell MT"/>
          <w:b/>
          <w:bCs/>
          <w:color w:val="1B443A"/>
          <w:sz w:val="26"/>
          <w:szCs w:val="26"/>
        </w:rPr>
        <w:t xml:space="preserve">Career Development &amp; Training</w:t>
      </w:r>
    </w:p>
    <w:p>
      <w:pPr>
        <w:pStyle w:val="PolicyBody"/>
        <w:numPr>
          <w:ilvl w:val="0"/>
          <w:numId w:val="2"/>
        </w:numPr>
        <w:spacing w:after="90" w:line="348"/>
      </w:pPr>
      <w:r>
        <w:rPr>
          <w:rFonts w:ascii="Bell MT" w:cs="Bell MT" w:eastAsia="Bell MT" w:hAnsi="Bell MT"/>
          <w:color w:val="1D2925"/>
          <w:sz w:val="22"/>
          <w:szCs w:val="22"/>
        </w:rPr>
        <w:t xml:space="preserve">Assign accountable ownership and approved procedures for career development &amp; training.</w:t>
      </w:r>
    </w:p>
    <w:p>
      <w:pPr>
        <w:pStyle w:val="PolicyBody"/>
        <w:numPr>
          <w:ilvl w:val="0"/>
          <w:numId w:val="2"/>
        </w:numPr>
        <w:spacing w:after="90" w:line="348"/>
      </w:pPr>
      <w:r>
        <w:rPr>
          <w:rFonts w:ascii="Bell MT" w:cs="Bell MT" w:eastAsia="Bell MT" w:hAnsi="Bell MT"/>
          <w:color w:val="1D2925"/>
          <w:sz w:val="22"/>
          <w:szCs w:val="22"/>
        </w:rPr>
        <w:t xml:space="preserve">Identify material risks and improvement opportunities related to career development &amp; training.</w:t>
      </w:r>
    </w:p>
    <w:p>
      <w:pPr>
        <w:pStyle w:val="PolicyBody"/>
        <w:numPr>
          <w:ilvl w:val="0"/>
          <w:numId w:val="2"/>
        </w:numPr>
        <w:spacing w:after="90" w:line="348"/>
      </w:pPr>
      <w:r>
        <w:rPr>
          <w:rFonts w:ascii="Bell MT" w:cs="Bell MT" w:eastAsia="Bell MT" w:hAnsi="Bell MT"/>
          <w:color w:val="1D2925"/>
          <w:sz w:val="22"/>
          <w:szCs w:val="22"/>
        </w:rPr>
        <w:t xml:space="preserve">Define measures, evidence sources and review frequency for career development &amp; training.</w:t>
      </w:r>
    </w:p>
    <w:p>
      <w:pPr>
        <w:spacing w:before="70"/>
      </w:pPr>
      <w:r>
        <w:rPr>
          <w:sz w:val="2"/>
          <w:szCs w:val="2"/>
        </w:rPr>
        <w:t xml:space="preserve"> </w:t>
      </w:r>
    </w:p>
    <w:p>
      <w:pPr>
        <w:spacing w:after="90"/>
      </w:pPr>
      <w:r>
        <w:rPr>
          <w:rFonts w:ascii="Bell MT" w:cs="Bell MT" w:eastAsia="Bell MT" w:hAnsi="Bell MT"/>
          <w:b/>
          <w:bCs/>
          <w:color w:val="2D685A"/>
          <w:sz w:val="18"/>
          <w:szCs w:val="18"/>
        </w:rPr>
        <w:t xml:space="preserve">05  </w:t>
      </w:r>
      <w:r>
        <w:rPr>
          <w:rFonts w:ascii="Bell MT" w:cs="Bell MT" w:eastAsia="Bell MT" w:hAnsi="Bell MT"/>
          <w:b/>
          <w:bCs/>
          <w:color w:val="1B443A"/>
          <w:sz w:val="26"/>
          <w:szCs w:val="26"/>
        </w:rPr>
        <w:t xml:space="preserve">Child Labour, Forced Labour &amp; Modern Slavery</w:t>
      </w:r>
    </w:p>
    <w:p>
      <w:pPr>
        <w:pStyle w:val="PolicyBody"/>
        <w:numPr>
          <w:ilvl w:val="0"/>
          <w:numId w:val="2"/>
        </w:numPr>
        <w:spacing w:after="90" w:line="348"/>
      </w:pPr>
      <w:r>
        <w:rPr>
          <w:rFonts w:ascii="Bell MT" w:cs="Bell MT" w:eastAsia="Bell MT" w:hAnsi="Bell MT"/>
          <w:color w:val="1D2925"/>
          <w:sz w:val="22"/>
          <w:szCs w:val="22"/>
        </w:rPr>
        <w:t xml:space="preserve">Assign accountable ownership and approved procedures for child labour, forced labour &amp; modern slavery.</w:t>
      </w:r>
    </w:p>
    <w:p>
      <w:pPr>
        <w:pStyle w:val="PolicyBody"/>
        <w:numPr>
          <w:ilvl w:val="0"/>
          <w:numId w:val="2"/>
        </w:numPr>
        <w:spacing w:after="90" w:line="348"/>
      </w:pPr>
      <w:r>
        <w:rPr>
          <w:rFonts w:ascii="Bell MT" w:cs="Bell MT" w:eastAsia="Bell MT" w:hAnsi="Bell MT"/>
          <w:color w:val="1D2925"/>
          <w:sz w:val="22"/>
          <w:szCs w:val="22"/>
        </w:rPr>
        <w:t xml:space="preserve">Identify material risks and improvement opportunities related to child labour, forced labour &amp; modern slavery.</w:t>
      </w:r>
    </w:p>
    <w:p>
      <w:pPr>
        <w:pStyle w:val="PolicyBody"/>
        <w:numPr>
          <w:ilvl w:val="0"/>
          <w:numId w:val="2"/>
        </w:numPr>
        <w:spacing w:after="90" w:line="348"/>
      </w:pPr>
      <w:r>
        <w:rPr>
          <w:rFonts w:ascii="Bell MT" w:cs="Bell MT" w:eastAsia="Bell MT" w:hAnsi="Bell MT"/>
          <w:color w:val="1D2925"/>
          <w:sz w:val="22"/>
          <w:szCs w:val="22"/>
        </w:rPr>
        <w:t xml:space="preserve">Define measures, evidence sources and review frequency for child labour, forced labour &amp; modern slavery.</w:t>
      </w:r>
    </w:p>
    <w:p>
      <w:pPr>
        <w:spacing w:before="70"/>
      </w:pPr>
      <w:r>
        <w:rPr>
          <w:sz w:val="2"/>
          <w:szCs w:val="2"/>
        </w:rPr>
        <w:t xml:space="preserve"> </w:t>
      </w:r>
    </w:p>
    <w:p>
      <w:pPr>
        <w:spacing w:before="165"/>
      </w:pPr>
      <w:r>
        <w:rPr>
          <w:sz w:val="2"/>
          <w:szCs w:val="2"/>
        </w:rPr>
        <w:t xml:space="preserve"> </w:t>
      </w:r>
    </w:p>
    <w:p>
      <w:pPr>
        <w:pStyle w:val="PolicyHeading"/>
        <w:pBdr>
          <w:bottom w:val="single" w:color="2D685A" w:sz="4" w:space="1"/>
        </w:pBdr>
        <w:spacing w:after="180" w:before="260"/>
        <w:jc w:val="left"/>
      </w:pPr>
      <w:bookmarkStart w:name="standard-quantitative" w:id="1"/>
      <w:bookmarkEnd w:id="1"/>
      <w:r>
        <w:rPr>
          <w:rFonts w:ascii="Bell MT" w:cs="Bell MT" w:eastAsia="Bell MT" w:hAnsi="Bell MT"/>
          <w:color w:val="64766E"/>
          <w:sz w:val="20"/>
          <w:szCs w:val="20"/>
        </w:rPr>
        <w:t xml:space="preserve">06   </w:t>
      </w:r>
      <w:r>
        <w:rPr>
          <w:rFonts w:ascii="Bell MT" w:cs="Bell MT" w:eastAsia="Bell MT" w:hAnsi="Bell MT"/>
          <w:b/>
          <w:bCs/>
          <w:color w:val="1B443A"/>
          <w:sz w:val="34"/>
          <w:szCs w:val="34"/>
        </w:rPr>
        <w:t xml:space="preserve">Quantitative Targets</w:t>
      </w:r>
    </w:p>
    <w:p>
      <w:pPr>
        <w:spacing w:after="120"/>
      </w:pPr>
      <w:r>
        <w:rPr>
          <w:rFonts w:ascii="Bell MT" w:cs="Bell MT" w:eastAsia="Bell MT" w:hAnsi="Bell MT"/>
          <w:i/>
          <w:iCs/>
          <w:color w:val="64766E"/>
          <w:sz w:val="17"/>
          <w:szCs w:val="17"/>
        </w:rPr>
        <w:t xml:space="preserve">Targets are tracked against a defined period or reported annually as ongoing commitments.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50"/>
        <w:gridCol w:w="6762"/>
        <w:gridCol w:w="1900"/>
      </w:tblGrid>
      <w:tr>
        <w:trPr>
          <w:cantSplit/>
        </w:trPr>
        <w:tc>
          <w:tcPr>
            <w:tcW w:type="dxa" w:w="750"/>
            <w:shd w:fill="E5F1EC" w:color="E5F1EC" w:val="solid"/>
            <w:tcMar>
              <w:top w:type="dxa" w:w="120"/>
              <w:left w:type="dxa" w:w="120"/>
              <w:bottom w:type="dxa" w:w="120"/>
              <w:right w:type="dxa" w:w="120"/>
            </w:tcMar>
            <w:vAlign w:val="center"/>
          </w:tcPr>
          <w:p>
            <w:pPr>
              <w:jc w:val="center"/>
            </w:pPr>
            <w:r>
              <w:rPr>
                <w:rFonts w:ascii="Bell MT" w:cs="Bell MT" w:eastAsia="Bell MT" w:hAnsi="Bell MT"/>
                <w:color w:val="2D685A"/>
                <w:sz w:val="30"/>
                <w:szCs w:val="30"/>
              </w:rPr>
              <w:t xml:space="preserve">01</w:t>
            </w:r>
          </w:p>
        </w:tc>
        <w:tc>
          <w:tcPr>
            <w:tcW w:type="dxa" w:w="6762"/>
            <w:tcBorders>
              <w:left w:val="single" w:color="CFE0D9" w:sz="5" w:space="1"/>
              <w:right w:val="single" w:color="CFE0D9" w:sz="5" w:space="1"/>
            </w:tcBorders>
            <w:shd w:fill="E5F1EC" w:color="E5F1EC" w:val="solid"/>
            <w:tcMar>
              <w:top w:type="dxa" w:w="120"/>
              <w:left w:type="dxa" w:w="120"/>
              <w:bottom w:type="dxa" w:w="120"/>
              <w:right w:type="dxa" w:w="120"/>
            </w:tcMar>
            <w:vAlign w:val="center"/>
          </w:tcPr>
          <w:p>
            <w:pPr>
              <w:spacing w:after="55"/>
            </w:pPr>
            <w:r>
              <w:rPr>
                <w:rFonts w:ascii="Bell MT" w:cs="Bell MT" w:eastAsia="Bell MT" w:hAnsi="Bell MT"/>
                <w:b/>
                <w:bCs/>
                <w:color w:val="1B443A"/>
                <w:sz w:val="26"/>
                <w:szCs w:val="26"/>
              </w:rPr>
              <w:t xml:space="preserve">Occupational Health &amp; Safety</w:t>
            </w:r>
          </w:p>
          <w:p>
            <w:r>
              <w:rPr>
                <w:rFonts w:ascii="Bell MT" w:cs="Bell MT" w:eastAsia="Bell MT" w:hAnsi="Bell MT"/>
                <w:sz w:val="22"/>
                <w:szCs w:val="22"/>
              </w:rPr>
              <w:t xml:space="preserve">Achieve the approved occupational health &amp; safety target</w:t>
            </w:r>
          </w:p>
        </w:tc>
        <w:tc>
          <w:tcPr>
            <w:tcW w:type="dxa" w:w="1900"/>
            <w:shd w:fill="E5F1EC" w:color="E5F1EC" w:val="solid"/>
            <w:tcMar>
              <w:top w:type="dxa" w:w="120"/>
              <w:left w:type="dxa" w:w="120"/>
              <w:bottom w:type="dxa" w:w="120"/>
              <w:right w:type="dxa" w:w="120"/>
            </w:tcMar>
            <w:vAlign w:val="center"/>
          </w:tcPr>
          <w:p>
            <w:r>
              <w:rPr>
                <w:rFonts w:ascii="Bell MT" w:cs="Bell MT" w:eastAsia="Bell MT" w:hAnsi="Bell MT"/>
                <w:b/>
                <w:bCs/>
                <w:color w:val="1D2925"/>
                <w:sz w:val="14"/>
                <w:szCs w:val="14"/>
              </w:rPr>
              <w:t xml:space="preserve">FY 2028-29</w:t>
            </w:r>
          </w:p>
          <w:p>
            <w:pPr>
              <w:spacing w:before="45"/>
            </w:pPr>
            <w:r>
              <w:rPr>
                <w:rFonts w:ascii="Bell MT" w:cs="Bell MT" w:eastAsia="Bell MT" w:hAnsi="Bell MT"/>
                <w:color w:val="64766E"/>
                <w:sz w:val="14"/>
                <w:szCs w:val="14"/>
              </w:rPr>
              <w:t xml:space="preserve">FY 2024-25</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50"/>
        <w:gridCol w:w="6762"/>
        <w:gridCol w:w="1900"/>
      </w:tblGrid>
      <w:tr>
        <w:trPr>
          <w:cantSplit/>
        </w:trPr>
        <w:tc>
          <w:tcPr>
            <w:tcW w:type="dxa" w:w="750"/>
            <w:shd w:fill="E5F1EC" w:color="E5F1EC" w:val="solid"/>
            <w:tcMar>
              <w:top w:type="dxa" w:w="120"/>
              <w:left w:type="dxa" w:w="120"/>
              <w:bottom w:type="dxa" w:w="120"/>
              <w:right w:type="dxa" w:w="120"/>
            </w:tcMar>
            <w:vAlign w:val="center"/>
          </w:tcPr>
          <w:p>
            <w:pPr>
              <w:jc w:val="center"/>
            </w:pPr>
            <w:r>
              <w:rPr>
                <w:rFonts w:ascii="Bell MT" w:cs="Bell MT" w:eastAsia="Bell MT" w:hAnsi="Bell MT"/>
                <w:color w:val="2D685A"/>
                <w:sz w:val="30"/>
                <w:szCs w:val="30"/>
              </w:rPr>
              <w:t xml:space="preserve">02</w:t>
            </w:r>
          </w:p>
        </w:tc>
        <w:tc>
          <w:tcPr>
            <w:tcW w:type="dxa" w:w="6762"/>
            <w:tcBorders>
              <w:left w:val="single" w:color="CFE0D9" w:sz="5" w:space="1"/>
              <w:right w:val="single" w:color="CFE0D9" w:sz="5" w:space="1"/>
            </w:tcBorders>
            <w:shd w:fill="E5F1EC" w:color="E5F1EC" w:val="solid"/>
            <w:tcMar>
              <w:top w:type="dxa" w:w="120"/>
              <w:left w:type="dxa" w:w="120"/>
              <w:bottom w:type="dxa" w:w="120"/>
              <w:right w:type="dxa" w:w="120"/>
            </w:tcMar>
            <w:vAlign w:val="center"/>
          </w:tcPr>
          <w:p>
            <w:pPr>
              <w:spacing w:after="55"/>
            </w:pPr>
            <w:r>
              <w:rPr>
                <w:rFonts w:ascii="Bell MT" w:cs="Bell MT" w:eastAsia="Bell MT" w:hAnsi="Bell MT"/>
                <w:b/>
                <w:bCs/>
                <w:color w:val="1B443A"/>
                <w:sz w:val="26"/>
                <w:szCs w:val="26"/>
              </w:rPr>
              <w:t xml:space="preserve">Fair Working Conditions, Hours &amp; Benefits</w:t>
            </w:r>
          </w:p>
          <w:p>
            <w:r>
              <w:rPr>
                <w:rFonts w:ascii="Bell MT" w:cs="Bell MT" w:eastAsia="Bell MT" w:hAnsi="Bell MT"/>
                <w:sz w:val="22"/>
                <w:szCs w:val="22"/>
              </w:rPr>
              <w:t xml:space="preserve">Achieve the approved fair working conditions, hours &amp; benefits target</w:t>
            </w:r>
          </w:p>
        </w:tc>
        <w:tc>
          <w:tcPr>
            <w:tcW w:type="dxa" w:w="1900"/>
            <w:shd w:fill="E5F1EC" w:color="E5F1EC" w:val="solid"/>
            <w:tcMar>
              <w:top w:type="dxa" w:w="120"/>
              <w:left w:type="dxa" w:w="120"/>
              <w:bottom w:type="dxa" w:w="120"/>
              <w:right w:type="dxa" w:w="120"/>
            </w:tcMar>
            <w:vAlign w:val="center"/>
          </w:tcPr>
          <w:p>
            <w:r>
              <w:rPr>
                <w:rFonts w:ascii="Bell MT" w:cs="Bell MT" w:eastAsia="Bell MT" w:hAnsi="Bell MT"/>
                <w:b/>
                <w:bCs/>
                <w:color w:val="1D2925"/>
                <w:sz w:val="14"/>
                <w:szCs w:val="14"/>
              </w:rPr>
              <w:t xml:space="preserve">FY 2028-29</w:t>
            </w:r>
          </w:p>
          <w:p>
            <w:pPr>
              <w:spacing w:before="45"/>
            </w:pPr>
            <w:r>
              <w:rPr>
                <w:rFonts w:ascii="Bell MT" w:cs="Bell MT" w:eastAsia="Bell MT" w:hAnsi="Bell MT"/>
                <w:color w:val="64766E"/>
                <w:sz w:val="14"/>
                <w:szCs w:val="14"/>
              </w:rPr>
              <w:t xml:space="preserve">FY 2024-25</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50"/>
        <w:gridCol w:w="6762"/>
        <w:gridCol w:w="1900"/>
      </w:tblGrid>
      <w:tr>
        <w:trPr>
          <w:cantSplit/>
        </w:trPr>
        <w:tc>
          <w:tcPr>
            <w:tcW w:type="dxa" w:w="750"/>
            <w:shd w:fill="E5F1EC" w:color="E5F1EC" w:val="solid"/>
            <w:tcMar>
              <w:top w:type="dxa" w:w="120"/>
              <w:left w:type="dxa" w:w="120"/>
              <w:bottom w:type="dxa" w:w="120"/>
              <w:right w:type="dxa" w:w="120"/>
            </w:tcMar>
            <w:vAlign w:val="center"/>
          </w:tcPr>
          <w:p>
            <w:pPr>
              <w:jc w:val="center"/>
            </w:pPr>
            <w:r>
              <w:rPr>
                <w:rFonts w:ascii="Bell MT" w:cs="Bell MT" w:eastAsia="Bell MT" w:hAnsi="Bell MT"/>
                <w:color w:val="2D685A"/>
                <w:sz w:val="30"/>
                <w:szCs w:val="30"/>
              </w:rPr>
              <w:t xml:space="preserve">03</w:t>
            </w:r>
          </w:p>
        </w:tc>
        <w:tc>
          <w:tcPr>
            <w:tcW w:type="dxa" w:w="6762"/>
            <w:tcBorders>
              <w:left w:val="single" w:color="CFE0D9" w:sz="5" w:space="1"/>
              <w:right w:val="single" w:color="CFE0D9" w:sz="5" w:space="1"/>
            </w:tcBorders>
            <w:shd w:fill="E5F1EC" w:color="E5F1EC" w:val="solid"/>
            <w:tcMar>
              <w:top w:type="dxa" w:w="120"/>
              <w:left w:type="dxa" w:w="120"/>
              <w:bottom w:type="dxa" w:w="120"/>
              <w:right w:type="dxa" w:w="120"/>
            </w:tcMar>
            <w:vAlign w:val="center"/>
          </w:tcPr>
          <w:p>
            <w:pPr>
              <w:spacing w:after="55"/>
            </w:pPr>
            <w:r>
              <w:rPr>
                <w:rFonts w:ascii="Bell MT" w:cs="Bell MT" w:eastAsia="Bell MT" w:hAnsi="Bell MT"/>
                <w:b/>
                <w:bCs/>
                <w:color w:val="1B443A"/>
                <w:sz w:val="26"/>
                <w:szCs w:val="26"/>
              </w:rPr>
              <w:t xml:space="preserve">Social Dialogue &amp; Freedom of Association</w:t>
            </w:r>
          </w:p>
          <w:p>
            <w:r>
              <w:rPr>
                <w:rFonts w:ascii="Bell MT" w:cs="Bell MT" w:eastAsia="Bell MT" w:hAnsi="Bell MT"/>
                <w:sz w:val="22"/>
                <w:szCs w:val="22"/>
              </w:rPr>
              <w:t xml:space="preserve">Achieve the approved social dialogue &amp; freedom of association target</w:t>
            </w:r>
          </w:p>
        </w:tc>
        <w:tc>
          <w:tcPr>
            <w:tcW w:type="dxa" w:w="1900"/>
            <w:shd w:fill="E5F1EC" w:color="E5F1EC" w:val="solid"/>
            <w:tcMar>
              <w:top w:type="dxa" w:w="120"/>
              <w:left w:type="dxa" w:w="120"/>
              <w:bottom w:type="dxa" w:w="120"/>
              <w:right w:type="dxa" w:w="120"/>
            </w:tcMar>
            <w:vAlign w:val="center"/>
          </w:tcPr>
          <w:p>
            <w:r>
              <w:rPr>
                <w:rFonts w:ascii="Bell MT" w:cs="Bell MT" w:eastAsia="Bell MT" w:hAnsi="Bell MT"/>
                <w:b/>
                <w:bCs/>
                <w:color w:val="1D2925"/>
                <w:sz w:val="14"/>
                <w:szCs w:val="14"/>
              </w:rPr>
              <w:t xml:space="preserve">FY 2028-29</w:t>
            </w:r>
          </w:p>
          <w:p>
            <w:pPr>
              <w:spacing w:before="45"/>
            </w:pPr>
            <w:r>
              <w:rPr>
                <w:rFonts w:ascii="Bell MT" w:cs="Bell MT" w:eastAsia="Bell MT" w:hAnsi="Bell MT"/>
                <w:color w:val="64766E"/>
                <w:sz w:val="14"/>
                <w:szCs w:val="14"/>
              </w:rPr>
              <w:t xml:space="preserve">FY 2024-25</w:t>
            </w:r>
          </w:p>
        </w:tc>
      </w:tr>
    </w:tbl>
    <w:p>
      <w:pPr>
        <w:spacing w:before="165"/>
      </w:pPr>
      <w:r>
        <w:rPr>
          <w:sz w:val="2"/>
          <w:szCs w:val="2"/>
        </w:rPr>
        <w:t xml:space="preserve"> </w:t>
      </w:r>
    </w:p>
    <w:p>
      <w:pPr>
        <w:pStyle w:val="PolicyHeading"/>
        <w:pBdr>
          <w:bottom w:val="single" w:color="2D685A" w:sz="4" w:space="1"/>
        </w:pBdr>
        <w:spacing w:after="180" w:before="260"/>
        <w:jc w:val="left"/>
      </w:pPr>
      <w:bookmarkStart w:name="standard-sdg" w:id="1"/>
      <w:bookmarkEnd w:id="1"/>
      <w:r>
        <w:rPr>
          <w:rFonts w:ascii="Bell MT" w:cs="Bell MT" w:eastAsia="Bell MT" w:hAnsi="Bell MT"/>
          <w:color w:val="64766E"/>
          <w:sz w:val="20"/>
          <w:szCs w:val="20"/>
        </w:rPr>
        <w:t xml:space="preserve">07   </w:t>
      </w:r>
      <w:r>
        <w:rPr>
          <w:rFonts w:ascii="Bell MT" w:cs="Bell MT" w:eastAsia="Bell MT" w:hAnsi="Bell MT"/>
          <w:b/>
          <w:bCs/>
          <w:color w:val="1B443A"/>
          <w:sz w:val="34"/>
          <w:szCs w:val="34"/>
        </w:rPr>
        <w:t xml:space="preserve">SDG Alignment</w:t>
      </w:r>
    </w:p>
    <w:p>
      <w:pPr>
        <w:spacing w:after="130"/>
      </w:pPr>
      <w:r>
        <w:rPr>
          <w:rFonts w:ascii="Bell MT" w:cs="Bell MT" w:eastAsia="Bell MT" w:hAnsi="Bell MT"/>
        </w:rPr>
        <w:t xml:space="preserve">This policy aligns with the following United Nations Sustainable Development Goals:</w:t>
      </w:r>
    </w:p>
    <w:tbl>
      <w:tblPr>
        <w:tblW w:type="dxa" w:w="9411"/>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3137"/>
        <w:gridCol w:w="3137"/>
        <w:gridCol w:w="3137"/>
      </w:tblGrid>
      <w:tr>
        <w:trPr>
          <w:cantSplit/>
        </w:trPr>
        <w:tc>
          <w:tcPr>
            <w:tcW w:type="dxa" w:w="3137"/>
            <w:shd w:fill="E5F1EC" w:color="E5F1EC"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ell MT" w:cs="Bell MT" w:eastAsia="Bell MT" w:hAnsi="Bell MT"/>
                <w:b/>
                <w:bCs/>
                <w:color w:val="1D2925"/>
                <w:sz w:val="14"/>
                <w:szCs w:val="14"/>
              </w:rPr>
              <w:t xml:space="preserve">Good Health</w:t>
            </w:r>
          </w:p>
        </w:tc>
        <w:tc>
          <w:tcPr>
            <w:tcW w:type="dxa" w:w="3137"/>
            <w:shd w:fill="E5F1EC" w:color="E5F1EC"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ell MT" w:cs="Bell MT" w:eastAsia="Bell MT" w:hAnsi="Bell MT"/>
                <w:b/>
                <w:bCs/>
                <w:color w:val="1D2925"/>
                <w:sz w:val="14"/>
                <w:szCs w:val="14"/>
              </w:rPr>
              <w:t xml:space="preserve">Quality Education</w:t>
            </w:r>
          </w:p>
        </w:tc>
        <w:tc>
          <w:tcPr>
            <w:tcW w:type="dxa" w:w="3137"/>
            <w:shd w:fill="E5F1EC" w:color="E5F1EC"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ell MT" w:cs="Bell MT" w:eastAsia="Bell MT" w:hAnsi="Bell MT"/>
                <w:b/>
                <w:bCs/>
                <w:color w:val="1D2925"/>
                <w:sz w:val="14"/>
                <w:szCs w:val="14"/>
              </w:rPr>
              <w:t xml:space="preserve">Gender Equality</w:t>
            </w:r>
          </w:p>
        </w:tc>
      </w:tr>
      <w:tr>
        <w:trPr>
          <w:cantSplit/>
        </w:trPr>
        <w:tc>
          <w:tcPr>
            <w:tcW w:type="dxa" w:w="3137"/>
            <w:shd w:fill="E5F1EC" w:color="E5F1EC"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ell MT" w:cs="Bell MT" w:eastAsia="Bell MT" w:hAnsi="Bell MT"/>
                <w:b/>
                <w:bCs/>
                <w:color w:val="1D2925"/>
                <w:sz w:val="14"/>
                <w:szCs w:val="14"/>
              </w:rPr>
              <w:t xml:space="preserve">Decent Work</w:t>
            </w:r>
          </w:p>
        </w:tc>
        <w:tc>
          <w:tcPr>
            <w:tcW w:type="dxa" w:w="3137"/>
            <w:shd w:fill="E5F1EC" w:color="E5F1EC"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ell MT" w:cs="Bell MT" w:eastAsia="Bell MT" w:hAnsi="Bell MT"/>
                <w:b/>
                <w:bCs/>
                <w:color w:val="1D2925"/>
                <w:sz w:val="14"/>
                <w:szCs w:val="14"/>
              </w:rPr>
              <w:t xml:space="preserve">Reduced Inequalities</w:t>
            </w:r>
          </w:p>
        </w:tc>
        <w:tc>
          <w:tcPr>
            <w:tcW w:type="dxa" w:w="3137"/>
            <w:shd w:fill="E5F1EC" w:color="E5F1EC"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ell MT" w:cs="Bell MT" w:eastAsia="Bell MT" w:hAnsi="Bell MT"/>
                <w:b/>
                <w:bCs/>
                <w:color w:val="1D2925"/>
                <w:sz w:val="14"/>
                <w:szCs w:val="14"/>
              </w:rPr>
              <w:t xml:space="preserve">Peace &amp; Justice</w:t>
            </w:r>
          </w:p>
        </w:tc>
      </w:tr>
      <w:tr>
        <w:trPr>
          <w:cantSplit/>
        </w:trPr>
        <w:tc>
          <w:tcPr>
            <w:tcW w:type="dxa" w:w="3137"/>
            <w:shd w:fill="E5F1EC" w:color="E5F1EC"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ell MT" w:cs="Bell MT" w:eastAsia="Bell MT" w:hAnsi="Bell MT"/>
                <w:b/>
                <w:bCs/>
                <w:color w:val="1D2925"/>
                <w:sz w:val="14"/>
                <w:szCs w:val="14"/>
              </w:rPr>
              <w:t xml:space="preserve">Partnerships</w:t>
            </w:r>
          </w:p>
        </w:tc>
        <w:tc>
          <w:tcPr>
            <w:tcW w:type="dxa" w:w="3137"/>
            <w:tcMar>
              <w:top w:type="dxa" w:w="120"/>
              <w:left w:type="dxa" w:w="120"/>
              <w:bottom w:type="dxa" w:w="120"/>
              <w:right w:type="dxa" w:w="120"/>
            </w:tcMar>
            <w:vAlign w:val="center"/>
          </w:tcPr>
          <w:p>
            <w:r>
              <w:t xml:space="preserve"/>
            </w:r>
          </w:p>
        </w:tc>
        <w:tc>
          <w:tcPr>
            <w:tcW w:type="dxa" w:w="3137"/>
            <w:tcMar>
              <w:top w:type="dxa" w:w="120"/>
              <w:left w:type="dxa" w:w="120"/>
              <w:bottom w:type="dxa" w:w="120"/>
              <w:right w:type="dxa" w:w="120"/>
            </w:tcMar>
            <w:vAlign w:val="center"/>
          </w:tcPr>
          <w:p>
            <w:r>
              <w:t xml:space="preserve"/>
            </w:r>
          </w:p>
        </w:tc>
      </w:tr>
    </w:tbl>
    <w:p>
      <w:pPr>
        <w:spacing w:before="165"/>
      </w:pPr>
      <w:r>
        <w:rPr>
          <w:sz w:val="2"/>
          <w:szCs w:val="2"/>
        </w:rPr>
        <w:t xml:space="preserve"> </w:t>
      </w:r>
    </w:p>
    <w:p>
      <w:pPr>
        <w:pStyle w:val="PolicyHeading"/>
        <w:pBdr>
          <w:bottom w:val="single" w:color="2D685A" w:sz="4" w:space="1"/>
        </w:pBdr>
        <w:spacing w:after="180" w:before="260"/>
        <w:jc w:val="left"/>
      </w:pPr>
      <w:bookmarkStart w:name="standard-responsibilities" w:id="1"/>
      <w:bookmarkEnd w:id="1"/>
      <w:r>
        <w:rPr>
          <w:rFonts w:ascii="Bell MT" w:cs="Bell MT" w:eastAsia="Bell MT" w:hAnsi="Bell MT"/>
          <w:color w:val="64766E"/>
          <w:sz w:val="20"/>
          <w:szCs w:val="20"/>
        </w:rPr>
        <w:t xml:space="preserve">08   </w:t>
      </w:r>
      <w:r>
        <w:rPr>
          <w:rFonts w:ascii="Bell MT" w:cs="Bell MT" w:eastAsia="Bell MT" w:hAnsi="Bell MT"/>
          <w:b/>
          <w:bCs/>
          <w:color w:val="1B443A"/>
          <w:sz w:val="34"/>
          <w:szCs w:val="34"/>
        </w:rPr>
        <w:t xml:space="preserve">Roles &amp; Responsibilities</w:t>
      </w:r>
    </w:p>
    <w:tbl>
      <w:tblPr>
        <w:tblW w:type="dxa" w:w="925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CellSpacing w:type="dxa" w:w="80"/>
      </w:tblPr>
      <w:tblGrid>
        <w:gridCol w:w="4626"/>
        <w:gridCol w:w="4626"/>
      </w:tblGrid>
      <w:tr>
        <w:trPr>
          <w:cantSplit/>
        </w:trPr>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01</w:t>
            </w:r>
            <w:r>
              <w:rPr>
                <w:rFonts w:ascii="Bell MT" w:cs="Bell MT" w:eastAsia="Bell MT" w:hAnsi="Bell MT"/>
                <w:b/>
                <w:bCs/>
                <w:color w:val="1B443A"/>
                <w:sz w:val="26"/>
                <w:szCs w:val="26"/>
              </w:rPr>
              <w:t xml:space="preserve">  Board &amp; Senior Management</w:t>
            </w:r>
          </w:p>
          <w:p>
            <w:r>
              <w:rPr>
                <w:rFonts w:ascii="Bell MT" w:cs="Bell MT" w:eastAsia="Bell MT" w:hAnsi="Bell MT"/>
                <w:sz w:val="22"/>
                <w:szCs w:val="22"/>
              </w:rPr>
              <w:t xml:space="preserve">Approve the policy, allocate resources, and review labour and human-rights performance.</w:t>
            </w:r>
          </w:p>
        </w:tc>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02</w:t>
            </w:r>
            <w:r>
              <w:rPr>
                <w:rFonts w:ascii="Bell MT" w:cs="Bell MT" w:eastAsia="Bell MT" w:hAnsi="Bell MT"/>
                <w:b/>
                <w:bCs/>
                <w:color w:val="1B443A"/>
                <w:sz w:val="26"/>
                <w:szCs w:val="26"/>
              </w:rPr>
              <w:t xml:space="preserve">  Human Resources</w:t>
            </w:r>
          </w:p>
          <w:p>
            <w:r>
              <w:rPr>
                <w:rFonts w:ascii="Bell MT" w:cs="Bell MT" w:eastAsia="Bell MT" w:hAnsi="Bell MT"/>
                <w:sz w:val="22"/>
                <w:szCs w:val="22"/>
              </w:rPr>
              <w:t xml:space="preserve">Implement fair employment practices, maintain grievance channels, and track workforce commitments.</w:t>
            </w:r>
          </w:p>
        </w:tc>
      </w:tr>
      <w:tr>
        <w:trPr>
          <w:cantSplit/>
        </w:trPr>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03</w:t>
            </w:r>
            <w:r>
              <w:rPr>
                <w:rFonts w:ascii="Bell MT" w:cs="Bell MT" w:eastAsia="Bell MT" w:hAnsi="Bell MT"/>
                <w:b/>
                <w:bCs/>
                <w:color w:val="1B443A"/>
                <w:sz w:val="26"/>
                <w:szCs w:val="26"/>
              </w:rPr>
              <w:t xml:space="preserve">  EHS &amp; Operations</w:t>
            </w:r>
          </w:p>
          <w:p>
            <w:r>
              <w:rPr>
                <w:rFonts w:ascii="Bell MT" w:cs="Bell MT" w:eastAsia="Bell MT" w:hAnsi="Bell MT"/>
                <w:sz w:val="22"/>
                <w:szCs w:val="22"/>
              </w:rPr>
              <w:t xml:space="preserve">Maintain safe working conditions, address hazards, and ensure worker training and participation.</w:t>
            </w:r>
          </w:p>
        </w:tc>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04</w:t>
            </w:r>
            <w:r>
              <w:rPr>
                <w:rFonts w:ascii="Bell MT" w:cs="Bell MT" w:eastAsia="Bell MT" w:hAnsi="Bell MT"/>
                <w:b/>
                <w:bCs/>
                <w:color w:val="1B443A"/>
                <w:sz w:val="26"/>
                <w:szCs w:val="26"/>
              </w:rPr>
              <w:t xml:space="preserve">  Procurement &amp; Supply Chain</w:t>
            </w:r>
          </w:p>
          <w:p>
            <w:r>
              <w:rPr>
                <w:rFonts w:ascii="Bell MT" w:cs="Bell MT" w:eastAsia="Bell MT" w:hAnsi="Bell MT"/>
                <w:sz w:val="22"/>
                <w:szCs w:val="22"/>
              </w:rPr>
              <w:t xml:space="preserve">Apply human-rights due diligence to suppliers, contractors, and service providers.</w:t>
            </w:r>
          </w:p>
        </w:tc>
      </w:tr>
      <w:tr>
        <w:trPr>
          <w:cantSplit/>
        </w:trPr>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05</w:t>
            </w:r>
            <w:r>
              <w:rPr>
                <w:rFonts w:ascii="Bell MT" w:cs="Bell MT" w:eastAsia="Bell MT" w:hAnsi="Bell MT"/>
                <w:b/>
                <w:bCs/>
                <w:color w:val="1B443A"/>
                <w:sz w:val="26"/>
                <w:szCs w:val="26"/>
              </w:rPr>
              <w:t xml:space="preserve">  All Employees</w:t>
            </w:r>
          </w:p>
          <w:p>
            <w:r>
              <w:rPr>
                <w:rFonts w:ascii="Bell MT" w:cs="Bell MT" w:eastAsia="Bell MT" w:hAnsi="Bell MT"/>
                <w:sz w:val="22"/>
                <w:szCs w:val="22"/>
              </w:rPr>
              <w:t xml:space="preserve">Treat colleagues with dignity, report concerns without retaliation, and uphold this policy.</w:t>
            </w:r>
          </w:p>
        </w:tc>
        <w:tc>
          <w:tcPr>
            <w:tcW w:type="dxa" w:w="4626"/>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r>
              <w:t xml:space="preserve"/>
            </w:r>
          </w:p>
        </w:tc>
      </w:tr>
    </w:tbl>
    <w:p>
      <w:pPr>
        <w:spacing w:before="165"/>
      </w:pPr>
      <w:r>
        <w:rPr>
          <w:sz w:val="2"/>
          <w:szCs w:val="2"/>
        </w:rPr>
        <w:t xml:space="preserve"> </w:t>
      </w:r>
    </w:p>
    <w:p>
      <w:pPr>
        <w:pStyle w:val="PolicyHeading"/>
        <w:pBdr>
          <w:bottom w:val="single" w:color="2D685A" w:sz="4" w:space="1"/>
        </w:pBdr>
        <w:spacing w:after="180" w:before="260"/>
        <w:jc w:val="left"/>
      </w:pPr>
      <w:bookmarkStart w:name="standard-monitoring" w:id="1"/>
      <w:bookmarkEnd w:id="1"/>
      <w:r>
        <w:rPr>
          <w:rFonts w:ascii="Bell MT" w:cs="Bell MT" w:eastAsia="Bell MT" w:hAnsi="Bell MT"/>
          <w:color w:val="64766E"/>
          <w:sz w:val="20"/>
          <w:szCs w:val="20"/>
        </w:rPr>
        <w:t xml:space="preserve">09   </w:t>
      </w:r>
      <w:r>
        <w:rPr>
          <w:rFonts w:ascii="Bell MT" w:cs="Bell MT" w:eastAsia="Bell MT" w:hAnsi="Bell MT"/>
          <w:b/>
          <w:bCs/>
          <w:color w:val="1B443A"/>
          <w:sz w:val="34"/>
          <w:szCs w:val="34"/>
        </w:rPr>
        <w:t xml:space="preserve">Monitoring, Reporting &amp; Transparency</w:t>
      </w:r>
    </w:p>
    <w:p>
      <w:pPr>
        <w:pStyle w:val="PolicyBody"/>
        <w:spacing w:after="150" w:line="348"/>
        <w:jc w:val="both"/>
      </w:pPr>
      <w:r>
        <w:rPr>
          <w:rFonts w:ascii="Bell MT" w:cs="Bell MT" w:eastAsia="Bell MT" w:hAnsi="Bell MT"/>
          <w:sz w:val="22"/>
          <w:szCs w:val="22"/>
        </w:rPr>
        <w:t xml:space="preserve">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65"/>
      </w:pPr>
      <w:r>
        <w:rPr>
          <w:sz w:val="2"/>
          <w:szCs w:val="2"/>
        </w:rPr>
        <w:t xml:space="preserve"> </w:t>
      </w:r>
    </w:p>
    <w:p>
      <w:pPr>
        <w:pStyle w:val="PolicyHeading"/>
        <w:pBdr>
          <w:bottom w:val="single" w:color="2D685A" w:sz="4" w:space="1"/>
        </w:pBdr>
        <w:spacing w:after="180" w:before="260"/>
        <w:jc w:val="left"/>
      </w:pPr>
      <w:bookmarkStart w:name="standard-review" w:id="1"/>
      <w:bookmarkEnd w:id="1"/>
      <w:r>
        <w:rPr>
          <w:rFonts w:ascii="Bell MT" w:cs="Bell MT" w:eastAsia="Bell MT" w:hAnsi="Bell MT"/>
          <w:color w:val="64766E"/>
          <w:sz w:val="20"/>
          <w:szCs w:val="20"/>
        </w:rPr>
        <w:t xml:space="preserve">10   </w:t>
      </w:r>
      <w:r>
        <w:rPr>
          <w:rFonts w:ascii="Bell MT" w:cs="Bell MT" w:eastAsia="Bell MT" w:hAnsi="Bell MT"/>
          <w:b/>
          <w:bCs/>
          <w:color w:val="1B443A"/>
          <w:sz w:val="34"/>
          <w:szCs w:val="34"/>
        </w:rPr>
        <w:t xml:space="preserve">Review Mechanism &amp; Continuous Improvement</w:t>
      </w:r>
    </w:p>
    <w:p>
      <w:pPr>
        <w:pStyle w:val="PolicyBody"/>
        <w:spacing w:after="150" w:line="348"/>
        <w:jc w:val="both"/>
      </w:pPr>
      <w:r>
        <w:rPr>
          <w:rFonts w:ascii="Bell MT" w:cs="Bell MT" w:eastAsia="Bell MT" w:hAnsi="Bell MT"/>
          <w:sz w:val="22"/>
          <w:szCs w:val="22"/>
        </w:rPr>
        <w:t xml:space="preserve">This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65"/>
      </w:pPr>
      <w:r>
        <w:rPr>
          <w:sz w:val="2"/>
          <w:szCs w:val="2"/>
        </w:rPr>
        <w:t xml:space="preserve"> </w:t>
      </w:r>
    </w:p>
    <w:p>
      <w:pPr>
        <w:spacing w:before="100"/>
      </w:pPr>
      <w:r>
        <w:rPr>
          <w:sz w:val="2"/>
          <w:szCs w:val="2"/>
        </w:rPr>
        <w:t xml:space="preserve"> </w:t>
      </w:r>
    </w:p>
    <w:p>
      <w:pPr>
        <w:spacing w:after="120" w:before="160"/>
      </w:pPr>
      <w:r>
        <w:rPr>
          <w:rFonts w:ascii="Bell MT" w:cs="Bell MT" w:eastAsia="Bell MT" w:hAnsi="Bell MT"/>
          <w:b/>
          <w:bCs/>
          <w:color w:val="1B443A"/>
        </w:rPr>
        <w:t xml:space="preserve">Approved by: </w:t>
      </w:r>
      <w:r>
        <w:rPr>
          <w:rFonts w:ascii="Bell MT" w:cs="Bell MT" w:eastAsia="Bell MT" w:hAnsi="Bell MT"/>
        </w:rPr>
        <w:t xml:space="preserve">Managing Director</w:t>
      </w:r>
    </w:p>
    <w:p>
      <w:r>
        <w:br w:type="page"/>
      </w:r>
    </w:p>
    <w:p>
      <w:pPr>
        <w:spacing w:after="180"/>
        <w:jc w:val="left"/>
      </w:pPr>
      <w:bookmarkStart w:name="acknowledgement" w:id="1"/>
      <w:bookmarkEnd w:id="1"/>
      <w:r>
        <w:rPr>
          <w:rFonts w:ascii="Bell MT" w:cs="Bell MT" w:eastAsia="Bell MT" w:hAnsi="Bell MT"/>
          <w:b/>
          <w:bCs/>
          <w:i w:val="false"/>
          <w:iCs w:val="false"/>
          <w:color w:val="1B443A"/>
          <w:sz w:val="36"/>
          <w:szCs w:val="36"/>
        </w:rPr>
        <w:t xml:space="preserve">Employee Acknowledgement Form</w:t>
      </w:r>
    </w:p>
    <w:p>
      <w:pPr>
        <w:spacing w:after="260" w:line="348"/>
        <w:jc w:val="both"/>
      </w:pPr>
      <w:r>
        <w:rPr>
          <w:rFonts w:ascii="Bell MT" w:cs="Bell MT" w:eastAsia="Bell MT" w:hAnsi="Bell MT"/>
          <w:sz w:val="22"/>
          <w:szCs w:val="22"/>
        </w:rPr>
        <w:t xml:space="preserve">I acknowledge that I have read and understood the Labour &amp; Human Rights Policy of Acme Specialty Chemicals Pvt. Ltd. and agree to uphold its commitments in my work.</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shd w:fill="E5F1EC" w:color="E5F1EC" w:val="solid"/>
            <w:tcMar>
              <w:top w:type="dxa" w:w="120"/>
              <w:left w:type="dxa" w:w="140"/>
              <w:bottom w:type="dxa" w:w="120"/>
              <w:right w:type="dxa" w:w="140"/>
            </w:tcMar>
            <w:vAlign w:val="center"/>
          </w:tcPr>
          <w:p>
            <w:pPr>
              <w:spacing w:after="100"/>
            </w:pPr>
            <w:r>
              <w:rPr>
                <w:rFonts w:ascii="Bell MT" w:cs="Bell MT" w:eastAsia="Bell MT" w:hAnsi="Bell MT"/>
                <w:b/>
                <w:bCs/>
                <w:color w:val="64766E"/>
                <w:spacing w:val="35"/>
                <w:sz w:val="14"/>
                <w:szCs w:val="14"/>
              </w:rPr>
              <w:t xml:space="preserve">EMPLOYEE NAME</w:t>
            </w:r>
          </w:p>
          <w:p>
            <w:pPr>
              <w:pBdr>
                <w:bottom w:val="single" w:color="64766E" w:sz="6" w:space="1"/>
              </w:pBdr>
              <w:spacing w:after="170"/>
            </w:pPr>
            <w:r>
              <w:t xml:space="preserve"> </w:t>
            </w:r>
          </w:p>
        </w:tc>
        <w:tc>
          <w:tcPr>
            <w:tcW w:type="dxa" w:w="4706"/>
            <w:shd w:fill="E5F1EC" w:color="E5F1EC" w:val="solid"/>
            <w:tcMar>
              <w:top w:type="dxa" w:w="120"/>
              <w:left w:type="dxa" w:w="140"/>
              <w:bottom w:type="dxa" w:w="120"/>
              <w:right w:type="dxa" w:w="140"/>
            </w:tcMar>
            <w:vAlign w:val="center"/>
          </w:tcPr>
          <w:p>
            <w:pPr>
              <w:spacing w:after="100"/>
            </w:pPr>
            <w:r>
              <w:rPr>
                <w:rFonts w:ascii="Bell MT" w:cs="Bell MT" w:eastAsia="Bell MT" w:hAnsi="Bell MT"/>
                <w:b/>
                <w:bCs/>
                <w:color w:val="64766E"/>
                <w:spacing w:val="35"/>
                <w:sz w:val="14"/>
                <w:szCs w:val="14"/>
              </w:rPr>
              <w:t xml:space="preserve">EMPLOYEE ID</w:t>
            </w:r>
          </w:p>
          <w:p>
            <w:pPr>
              <w:pBdr>
                <w:bottom w:val="single" w:color="64766E" w:sz="6" w:space="1"/>
              </w:pBdr>
              <w:spacing w:after="170"/>
            </w:pPr>
            <w:r>
              <w:t xml:space="preserve"> </w:t>
            </w:r>
          </w:p>
        </w:tc>
      </w:tr>
      <w:tr>
        <w:trPr>
          <w:cantSplit/>
        </w:trPr>
        <w:tc>
          <w:tcPr>
            <w:tcW w:type="dxa" w:w="4706"/>
            <w:shd w:fill="E5F1EC" w:color="E5F1EC" w:val="solid"/>
            <w:tcMar>
              <w:top w:type="dxa" w:w="120"/>
              <w:left w:type="dxa" w:w="140"/>
              <w:bottom w:type="dxa" w:w="120"/>
              <w:right w:type="dxa" w:w="140"/>
            </w:tcMar>
            <w:vAlign w:val="center"/>
          </w:tcPr>
          <w:p>
            <w:pPr>
              <w:spacing w:after="100"/>
            </w:pPr>
            <w:r>
              <w:rPr>
                <w:rFonts w:ascii="Bell MT" w:cs="Bell MT" w:eastAsia="Bell MT" w:hAnsi="Bell MT"/>
                <w:b/>
                <w:bCs/>
                <w:color w:val="64766E"/>
                <w:spacing w:val="35"/>
                <w:sz w:val="14"/>
                <w:szCs w:val="14"/>
              </w:rPr>
              <w:t xml:space="preserve">DEPARTMENT</w:t>
            </w:r>
          </w:p>
          <w:p>
            <w:pPr>
              <w:pBdr>
                <w:bottom w:val="single" w:color="64766E" w:sz="6" w:space="1"/>
              </w:pBdr>
              <w:spacing w:after="170"/>
            </w:pPr>
            <w:r>
              <w:t xml:space="preserve"> </w:t>
            </w:r>
          </w:p>
        </w:tc>
        <w:tc>
          <w:tcPr>
            <w:tcW w:type="dxa" w:w="4706"/>
            <w:shd w:fill="E5F1EC" w:color="E5F1EC" w:val="solid"/>
            <w:tcMar>
              <w:top w:type="dxa" w:w="120"/>
              <w:left w:type="dxa" w:w="140"/>
              <w:bottom w:type="dxa" w:w="120"/>
              <w:right w:type="dxa" w:w="140"/>
            </w:tcMar>
            <w:vAlign w:val="center"/>
          </w:tcPr>
          <w:p>
            <w:pPr>
              <w:spacing w:after="100"/>
            </w:pPr>
            <w:r>
              <w:rPr>
                <w:rFonts w:ascii="Bell MT" w:cs="Bell MT" w:eastAsia="Bell MT" w:hAnsi="Bell MT"/>
                <w:b/>
                <w:bCs/>
                <w:color w:val="64766E"/>
                <w:spacing w:val="35"/>
                <w:sz w:val="14"/>
                <w:szCs w:val="14"/>
              </w:rPr>
              <w:t xml:space="preserve">DATE</w:t>
            </w:r>
          </w:p>
          <w:p>
            <w:pPr>
              <w:pBdr>
                <w:bottom w:val="single" w:color="64766E" w:sz="6" w:space="1"/>
              </w:pBdr>
              <w:spacing w:after="170"/>
            </w:pPr>
            <w:r>
              <w:t xml:space="preserve"> </w:t>
            </w:r>
          </w:p>
        </w:tc>
      </w:tr>
      <w:tr>
        <w:trPr>
          <w:cantSplit/>
        </w:trPr>
        <w:tc>
          <w:tcPr>
            <w:tcW w:type="dxa" w:w="4706"/>
            <w:shd w:fill="E5F1EC" w:color="E5F1EC" w:val="solid"/>
            <w:tcMar>
              <w:top w:type="dxa" w:w="120"/>
              <w:left w:type="dxa" w:w="140"/>
              <w:bottom w:type="dxa" w:w="120"/>
              <w:right w:type="dxa" w:w="140"/>
            </w:tcMar>
            <w:vAlign w:val="center"/>
          </w:tcPr>
          <w:p>
            <w:pPr>
              <w:spacing w:after="100"/>
            </w:pPr>
            <w:r>
              <w:rPr>
                <w:rFonts w:ascii="Bell MT" w:cs="Bell MT" w:eastAsia="Bell MT" w:hAnsi="Bell MT"/>
                <w:b/>
                <w:bCs/>
                <w:color w:val="64766E"/>
                <w:spacing w:val="35"/>
                <w:sz w:val="14"/>
                <w:szCs w:val="14"/>
              </w:rPr>
              <w:t xml:space="preserve">SIGNATURE</w:t>
            </w:r>
          </w:p>
          <w:p>
            <w:pPr>
              <w:pBdr>
                <w:bottom w:val="single" w:color="64766E" w:sz="6" w:space="1"/>
              </w:pBdr>
              <w:spacing w:after="260"/>
            </w:pPr>
            <w:r>
              <w:t xml:space="preserve"> </w:t>
            </w:r>
          </w:p>
        </w:tc>
        <w:tc>
          <w:tcPr>
            <w:tcW w:type="dxa" w:w="4706"/>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0D9" w:sz="5" w:space="1"/>
      </w:pBdr>
      <w:spacing w:before="80"/>
      <w:jc w:val="left"/>
    </w:pPr>
    <w:r>
      <w:rPr>
        <w:rFonts w:ascii="Bell MT" w:cs="Bell MT" w:eastAsia="Bell MT" w:hAnsi="Bell MT"/>
        <w:i w:val="false"/>
        <w:iCs w:val="false"/>
        <w:color w:val="64766E"/>
        <w:sz w:val="14"/>
        <w:szCs w:val="14"/>
      </w:rPr>
      <w:t xml:space="preserve">Effective 2025-01-15   -   Revision 01   -   Page </w:t>
    </w:r>
    <w:r>
      <w:rPr>
        <w:rFonts w:ascii="Bell MT" w:cs="Bell MT" w:eastAsia="Bell MT" w:hAnsi="Bell MT"/>
        <w:color w:val="64766E"/>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CFE0D9" w:sz="5" w:space="1"/>
      </w:pBdr>
      <w:spacing w:after="60"/>
      <w:jc w:val="left"/>
    </w:pPr>
    <w:r>
      <w:rPr>
        <w:rFonts w:ascii="Bell MT" w:cs="Bell MT" w:eastAsia="Bell MT" w:hAnsi="Bell MT"/>
        <w:b/>
        <w:bCs/>
        <w:color w:val="64766E"/>
        <w:spacing w:val="20"/>
        <w:sz w:val="14"/>
        <w:szCs w:val="14"/>
      </w:rPr>
      <w:t xml:space="preserve">Acme Specialty Chemicals Pvt. 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48"/>
        <w:ind w:left="420" w:hanging="220"/>
      </w:pPr>
      <w:rPr>
        <w:rFonts w:ascii="Bell MT" w:cs="Bell MT" w:eastAsia="Bell MT" w:hAnsi="Bell MT"/>
        <w:color w:val="2D685A"/>
      </w:rPr>
    </w:lvl>
  </w:abstractNum>
  <w:abstractNum w:abstractNumId="3" w15:restartNumberingAfterBreak="0">
    <w:multiLevelType w:val="hybridMultilevel"/>
    <w:lvl w:ilvl="0" w15:tentative="1">
      <w:start w:val="1"/>
      <w:numFmt w:val="decimal"/>
      <w:lvlText w:val="%1."/>
      <w:lvlJc w:val="left"/>
      <w:pPr>
        <w:spacing w:after="90" w:line="348"/>
        <w:ind w:left="420" w:hanging="220"/>
      </w:pPr>
      <w:rPr>
        <w:rFonts w:ascii="Bell MT" w:cs="Bell MT" w:eastAsia="Bell MT" w:hAnsi="Bell MT"/>
        <w:b/>
        <w:bCs/>
        <w:color w:val="2D685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ll MT" w:cs="Bell MT" w:eastAsia="Bell MT" w:hAnsi="Bell MT"/>
        <w:color w:val="1D292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212" w:before="354"/>
    </w:pPr>
    <w:rPr>
      <w:rFonts w:ascii="Bell MT" w:cs="Bell MT" w:eastAsia="Bell MT" w:hAnsi="Bell MT"/>
      <w:b/>
      <w:bCs/>
      <w:color w:val="1B443A"/>
      <w:sz w:val="34"/>
      <w:szCs w:val="34"/>
    </w:rPr>
  </w:style>
  <w:style w:type="paragraph" w:styleId="PolicyBody">
    <w:name w:val="Policy Body"/>
    <w:basedOn w:val="Normal"/>
    <w:next w:val="PolicyBody"/>
    <w:qFormat/>
    <w:pPr>
      <w:spacing w:after="177" w:line="348"/>
    </w:pPr>
    <w:rPr>
      <w:rFonts w:ascii="Bell MT" w:cs="Bell MT" w:eastAsia="Bell MT" w:hAnsi="Bell MT"/>
      <w:color w:val="1D292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415ab06f12ba76a70969ac10d40066e07d40e47e.jpg"/><Relationship Id="rId12" Type="http://schemas.openxmlformats.org/officeDocument/2006/relationships/image" Target="media/e4c9b413e209373acbd0066334e3a3bd12283c1b.jpg"/><Relationship Id="rId13" Type="http://schemas.openxmlformats.org/officeDocument/2006/relationships/image" Target="media/1234bbd7122344b9645e7c28f78749c312a78f80.jpg"/><Relationship Id="rId14" Type="http://schemas.openxmlformats.org/officeDocument/2006/relationships/image" Target="media/edf2f3178b56855a221bd0f9ffd3edfdfabf23f9.jpg"/><Relationship Id="rId15" Type="http://schemas.openxmlformats.org/officeDocument/2006/relationships/image" Target="media/62e80bf10812089b5b8366d350ae6d64ec900544.jpg"/><Relationship Id="rId16" Type="http://schemas.openxmlformats.org/officeDocument/2006/relationships/image" Target="media/7a7254c49f5cf79d3094e0a52e5fab436bbd8666.jpg"/><Relationship Id="rId17" Type="http://schemas.openxmlformats.org/officeDocument/2006/relationships/image" Target="media/e8a6427542f6ec9c91e84c4dfba52a7946d6bd93.jp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c1d76e313f3b6cbe815e1692a3bdc4bb2bab037.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2c1d76e313f3b6cbe815e1692a3bdc4bb2bab037.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&amp; Human Rights Policy - Acme Specialty Chemicals Pvt. Ltd.</dc:title>
  <dc:creator>PolicyCraft</dc:creator>
  <cp:lastModifiedBy>Un-named</cp:lastModifiedBy>
  <cp:revision>1</cp:revision>
  <dcterms:created xsi:type="dcterms:W3CDTF">2026-09-08T05:40:02.083Z</dcterms:created>
  <dcterms:modified xsi:type="dcterms:W3CDTF">2026-09-08T05:40:02.083Z</dcterms:modified>
</cp:coreProperties>
</file>

<file path=docProps/custom.xml><?xml version="1.0" encoding="utf-8"?>
<Properties xmlns="http://schemas.openxmlformats.org/officeDocument/2006/custom-properties" xmlns:vt="http://schemas.openxmlformats.org/officeDocument/2006/docPropsVTypes"/>
</file>