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Bell MT" w:cs="Bell MT" w:eastAsia="Bell MT" w:hAnsi="Bell MT"/>
          <w:color w:val="64766E"/>
          <w:sz w:val="25"/>
          <w:szCs w:val="25"/>
        </w:rPr>
        <w:t xml:space="preserve">Acme Specialty Chemicals Pvt. Ltd.</w:t>
      </w:r>
    </w:p>
    <w:p>
      <w:pPr>
        <w:spacing w:before="3402"/>
      </w:pPr>
      <w:r>
        <w:rPr>
          <w:sz w:val="2"/>
          <w:szCs w:val="2"/>
        </w:rPr>
        <w:t xml:space="preserve"> </w:t>
      </w:r>
    </w:p>
    <w:p>
      <w:pPr>
        <w:spacing w:after="140"/>
        <w:jc w:val="left"/>
      </w:pPr>
      <w:r>
        <w:rPr>
          <w:rFonts w:ascii="Bell MT" w:cs="Bell MT" w:eastAsia="Bell MT" w:hAnsi="Bell MT"/>
          <w:b/>
          <w:bCs/>
          <w:color w:val="1B443A"/>
          <w:sz w:val="84"/>
          <w:szCs w:val="84"/>
        </w:rPr>
        <w:t xml:space="preserve">Living Wage Policy</w:t>
      </w:r>
    </w:p>
    <w:p>
      <w:pPr>
        <w:spacing w:before="900"/>
      </w:pPr>
      <w:r>
        <w:rPr>
          <w:sz w:val="2"/>
          <w:szCs w:val="2"/>
        </w:rPr>
        <w:t xml:space="preserve"> </w:t>
      </w:r>
    </w:p>
    <w:p>
      <w:pPr>
        <w:pBdr>
          <w:top w:val="single" w:color="CFE0D9"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DOCUMENT NO.</w:t>
            </w:r>
          </w:p>
          <w:p>
            <w:pPr>
              <w:spacing w:after="180"/>
            </w:pPr>
            <w:r>
              <w:rPr>
                <w:rFonts w:ascii="Bell MT" w:cs="Bell MT" w:eastAsia="Bell MT" w:hAnsi="Bell MT"/>
                <w:color w:val="64766E"/>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EFFECTIVE DATE</w:t>
            </w:r>
          </w:p>
          <w:p>
            <w:pPr>
              <w:spacing w:after="180"/>
            </w:pPr>
            <w:r>
              <w:rPr>
                <w:rFonts w:ascii="Bell MT" w:cs="Bell MT" w:eastAsia="Bell MT" w:hAnsi="Bell MT"/>
                <w:color w:val="64766E"/>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REVISION</w:t>
            </w:r>
          </w:p>
          <w:p>
            <w:pPr>
              <w:spacing w:after="180"/>
            </w:pPr>
            <w:r>
              <w:rPr>
                <w:rFonts w:ascii="Bell MT" w:cs="Bell MT" w:eastAsia="Bell MT" w:hAnsi="Bell MT"/>
                <w:color w:val="64766E"/>
                <w:sz w:val="20"/>
                <w:szCs w:val="20"/>
              </w:rPr>
              <w:t xml:space="preserve">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NEXT REVIEW</w:t>
            </w:r>
          </w:p>
          <w:p>
            <w:pPr>
              <w:spacing w:after="180"/>
            </w:pPr>
            <w:r>
              <w:rPr>
                <w:rFonts w:ascii="Bell MT" w:cs="Bell MT" w:eastAsia="Bell MT" w:hAnsi="Bell MT"/>
                <w:color w:val="64766E"/>
                <w:sz w:val="20"/>
                <w:szCs w:val="20"/>
              </w:rPr>
              <w:t xml:space="preserve">2027-01-14</w:t>
            </w:r>
          </w:p>
        </w:tc>
      </w:tr>
    </w:tbl>
    <w:p>
      <w:r>
        <w:br w:type="page"/>
      </w:r>
    </w:p>
    <w:p>
      <w:pPr>
        <w:pStyle w:val="PolicyHeading"/>
        <w:spacing w:after="360"/>
        <w:jc w:val="left"/>
      </w:pPr>
      <w:r>
        <w:t xml:space="preserve">Contents</w:t>
      </w:r>
    </w:p>
    <w:p>
      <w:pPr>
        <w:pBdr>
          <w:bottom w:val="dotted" w:color="CFE0D9" w:sz="3" w:space="1"/>
        </w:pBdr>
        <w:spacing w:after="95" w:before="60"/>
      </w:pPr>
      <w:hyperlink w:history="1" w:anchor="standard-preface">
        <w:r>
          <w:rPr>
            <w:rFonts w:ascii="Bell MT" w:cs="Bell MT" w:eastAsia="Bell MT" w:hAnsi="Bell MT"/>
            <w:b/>
            <w:bCs/>
            <w:color w:val="2D685A"/>
            <w:sz w:val="20"/>
            <w:szCs w:val="20"/>
          </w:rPr>
          <w:t xml:space="preserve">01   </w:t>
        </w:r>
        <w:r>
          <w:rPr>
            <w:rFonts w:ascii="Bell MT" w:cs="Bell MT" w:eastAsia="Bell MT" w:hAnsi="Bell MT"/>
            <w:color w:val="1B443A"/>
            <w:sz w:val="20"/>
            <w:szCs w:val="20"/>
          </w:rPr>
          <w:t xml:space="preserve">Preface</w:t>
        </w:r>
      </w:hyperlink>
    </w:p>
    <w:p>
      <w:pPr>
        <w:pBdr>
          <w:bottom w:val="dotted" w:color="CFE0D9" w:sz="3" w:space="1"/>
        </w:pBdr>
        <w:spacing w:after="95" w:before="60"/>
      </w:pPr>
      <w:hyperlink w:history="1" w:anchor="standard-declaration">
        <w:r>
          <w:rPr>
            <w:rFonts w:ascii="Bell MT" w:cs="Bell MT" w:eastAsia="Bell MT" w:hAnsi="Bell MT"/>
            <w:b/>
            <w:bCs/>
            <w:color w:val="2D685A"/>
            <w:sz w:val="20"/>
            <w:szCs w:val="20"/>
          </w:rPr>
          <w:t xml:space="preserve">02   </w:t>
        </w:r>
        <w:r>
          <w:rPr>
            <w:rFonts w:ascii="Bell MT" w:cs="Bell MT" w:eastAsia="Bell MT" w:hAnsi="Bell MT"/>
            <w:color w:val="1B443A"/>
            <w:sz w:val="20"/>
            <w:szCs w:val="20"/>
          </w:rPr>
          <w:t xml:space="preserve">Policy Declaration</w:t>
        </w:r>
      </w:hyperlink>
    </w:p>
    <w:p>
      <w:pPr>
        <w:pBdr>
          <w:bottom w:val="dotted" w:color="CFE0D9" w:sz="3" w:space="1"/>
        </w:pBdr>
        <w:spacing w:after="95" w:before="60"/>
      </w:pPr>
      <w:hyperlink w:history="1" w:anchor="standard-scope">
        <w:r>
          <w:rPr>
            <w:rFonts w:ascii="Bell MT" w:cs="Bell MT" w:eastAsia="Bell MT" w:hAnsi="Bell MT"/>
            <w:b/>
            <w:bCs/>
            <w:color w:val="2D685A"/>
            <w:sz w:val="20"/>
            <w:szCs w:val="20"/>
          </w:rPr>
          <w:t xml:space="preserve">03   </w:t>
        </w:r>
        <w:r>
          <w:rPr>
            <w:rFonts w:ascii="Bell MT" w:cs="Bell MT" w:eastAsia="Bell MT" w:hAnsi="Bell MT"/>
            <w:color w:val="1B443A"/>
            <w:sz w:val="20"/>
            <w:szCs w:val="20"/>
          </w:rPr>
          <w:t xml:space="preserve">Scope</w:t>
        </w:r>
      </w:hyperlink>
    </w:p>
    <w:p>
      <w:pPr>
        <w:pBdr>
          <w:bottom w:val="dotted" w:color="CFE0D9" w:sz="3" w:space="1"/>
        </w:pBdr>
        <w:spacing w:after="95" w:before="60"/>
      </w:pPr>
      <w:hyperlink w:history="1" w:anchor="standard-focus">
        <w:r>
          <w:rPr>
            <w:rFonts w:ascii="Bell MT" w:cs="Bell MT" w:eastAsia="Bell MT" w:hAnsi="Bell MT"/>
            <w:b/>
            <w:bCs/>
            <w:color w:val="2D685A"/>
            <w:sz w:val="20"/>
            <w:szCs w:val="20"/>
          </w:rPr>
          <w:t xml:space="preserve">04   </w:t>
        </w:r>
        <w:r>
          <w:rPr>
            <w:rFonts w:ascii="Bell MT" w:cs="Bell MT" w:eastAsia="Bell MT" w:hAnsi="Bell MT"/>
            <w:color w:val="1B443A"/>
            <w:sz w:val="20"/>
            <w:szCs w:val="20"/>
          </w:rPr>
          <w:t xml:space="preserve">Key Focus Areas</w:t>
        </w:r>
      </w:hyperlink>
    </w:p>
    <w:p>
      <w:pPr>
        <w:pBdr>
          <w:bottom w:val="dotted" w:color="CFE0D9" w:sz="3" w:space="1"/>
        </w:pBdr>
        <w:spacing w:after="95" w:before="60"/>
      </w:pPr>
      <w:hyperlink w:history="1" w:anchor="standard-qualitative">
        <w:r>
          <w:rPr>
            <w:rFonts w:ascii="Bell MT" w:cs="Bell MT" w:eastAsia="Bell MT" w:hAnsi="Bell MT"/>
            <w:b/>
            <w:bCs/>
            <w:color w:val="2D685A"/>
            <w:sz w:val="20"/>
            <w:szCs w:val="20"/>
          </w:rPr>
          <w:t xml:space="preserve">05   </w:t>
        </w:r>
        <w:r>
          <w:rPr>
            <w:rFonts w:ascii="Bell MT" w:cs="Bell MT" w:eastAsia="Bell MT" w:hAnsi="Bell MT"/>
            <w:color w:val="1B443A"/>
            <w:sz w:val="20"/>
            <w:szCs w:val="20"/>
          </w:rPr>
          <w:t xml:space="preserve">Qualitative Objectives</w:t>
        </w:r>
      </w:hyperlink>
    </w:p>
    <w:p>
      <w:pPr>
        <w:pBdr>
          <w:bottom w:val="dotted" w:color="CFE0D9" w:sz="3" w:space="1"/>
        </w:pBdr>
        <w:spacing w:after="95" w:before="60"/>
      </w:pPr>
      <w:hyperlink w:history="1" w:anchor="standard-quantitative">
        <w:r>
          <w:rPr>
            <w:rFonts w:ascii="Bell MT" w:cs="Bell MT" w:eastAsia="Bell MT" w:hAnsi="Bell MT"/>
            <w:b/>
            <w:bCs/>
            <w:color w:val="2D685A"/>
            <w:sz w:val="20"/>
            <w:szCs w:val="20"/>
          </w:rPr>
          <w:t xml:space="preserve">06   </w:t>
        </w:r>
        <w:r>
          <w:rPr>
            <w:rFonts w:ascii="Bell MT" w:cs="Bell MT" w:eastAsia="Bell MT" w:hAnsi="Bell MT"/>
            <w:color w:val="1B443A"/>
            <w:sz w:val="20"/>
            <w:szCs w:val="20"/>
          </w:rPr>
          <w:t xml:space="preserve">Quantitative Targets</w:t>
        </w:r>
      </w:hyperlink>
    </w:p>
    <w:p>
      <w:pPr>
        <w:pBdr>
          <w:bottom w:val="dotted" w:color="CFE0D9" w:sz="3" w:space="1"/>
        </w:pBdr>
        <w:spacing w:after="95" w:before="60"/>
      </w:pPr>
      <w:hyperlink w:history="1" w:anchor="standard-sdg">
        <w:r>
          <w:rPr>
            <w:rFonts w:ascii="Bell MT" w:cs="Bell MT" w:eastAsia="Bell MT" w:hAnsi="Bell MT"/>
            <w:b/>
            <w:bCs/>
            <w:color w:val="2D685A"/>
            <w:sz w:val="20"/>
            <w:szCs w:val="20"/>
          </w:rPr>
          <w:t xml:space="preserve">07   </w:t>
        </w:r>
        <w:r>
          <w:rPr>
            <w:rFonts w:ascii="Bell MT" w:cs="Bell MT" w:eastAsia="Bell MT" w:hAnsi="Bell MT"/>
            <w:color w:val="1B443A"/>
            <w:sz w:val="20"/>
            <w:szCs w:val="20"/>
          </w:rPr>
          <w:t xml:space="preserve">SDG Alignment</w:t>
        </w:r>
      </w:hyperlink>
    </w:p>
    <w:p>
      <w:pPr>
        <w:pBdr>
          <w:bottom w:val="dotted" w:color="CFE0D9" w:sz="3" w:space="1"/>
        </w:pBdr>
        <w:spacing w:after="95" w:before="60"/>
      </w:pPr>
      <w:hyperlink w:history="1" w:anchor="standard-responsibilities">
        <w:r>
          <w:rPr>
            <w:rFonts w:ascii="Bell MT" w:cs="Bell MT" w:eastAsia="Bell MT" w:hAnsi="Bell MT"/>
            <w:b/>
            <w:bCs/>
            <w:color w:val="2D685A"/>
            <w:sz w:val="20"/>
            <w:szCs w:val="20"/>
          </w:rPr>
          <w:t xml:space="preserve">08   </w:t>
        </w:r>
        <w:r>
          <w:rPr>
            <w:rFonts w:ascii="Bell MT" w:cs="Bell MT" w:eastAsia="Bell MT" w:hAnsi="Bell MT"/>
            <w:color w:val="1B443A"/>
            <w:sz w:val="20"/>
            <w:szCs w:val="20"/>
          </w:rPr>
          <w:t xml:space="preserve">Roles &amp; Responsibilities</w:t>
        </w:r>
      </w:hyperlink>
    </w:p>
    <w:p>
      <w:pPr>
        <w:pBdr>
          <w:bottom w:val="dotted" w:color="CFE0D9" w:sz="3" w:space="1"/>
        </w:pBdr>
        <w:spacing w:after="95" w:before="60"/>
      </w:pPr>
      <w:hyperlink w:history="1" w:anchor="standard-monitoring">
        <w:r>
          <w:rPr>
            <w:rFonts w:ascii="Bell MT" w:cs="Bell MT" w:eastAsia="Bell MT" w:hAnsi="Bell MT"/>
            <w:b/>
            <w:bCs/>
            <w:color w:val="2D685A"/>
            <w:sz w:val="20"/>
            <w:szCs w:val="20"/>
          </w:rPr>
          <w:t xml:space="preserve">09   </w:t>
        </w:r>
        <w:r>
          <w:rPr>
            <w:rFonts w:ascii="Bell MT" w:cs="Bell MT" w:eastAsia="Bell MT" w:hAnsi="Bell MT"/>
            <w:color w:val="1B443A"/>
            <w:sz w:val="20"/>
            <w:szCs w:val="20"/>
          </w:rPr>
          <w:t xml:space="preserve">Monitoring, Reporting &amp; Transparency</w:t>
        </w:r>
      </w:hyperlink>
    </w:p>
    <w:p>
      <w:pPr>
        <w:pBdr>
          <w:bottom w:val="dotted" w:color="CFE0D9" w:sz="3" w:space="1"/>
        </w:pBdr>
        <w:spacing w:after="95" w:before="60"/>
      </w:pPr>
      <w:hyperlink w:history="1" w:anchor="standard-review">
        <w:r>
          <w:rPr>
            <w:rFonts w:ascii="Bell MT" w:cs="Bell MT" w:eastAsia="Bell MT" w:hAnsi="Bell MT"/>
            <w:b/>
            <w:bCs/>
            <w:color w:val="2D685A"/>
            <w:sz w:val="20"/>
            <w:szCs w:val="20"/>
          </w:rPr>
          <w:t xml:space="preserve">10   </w:t>
        </w:r>
        <w:r>
          <w:rPr>
            <w:rFonts w:ascii="Bell MT" w:cs="Bell MT" w:eastAsia="Bell MT" w:hAnsi="Bell MT"/>
            <w:color w:val="1B443A"/>
            <w:sz w:val="20"/>
            <w:szCs w:val="20"/>
          </w:rPr>
          <w:t xml:space="preserve">Review Mechanism &amp; Continuous Improvement</w:t>
        </w:r>
      </w:hyperlink>
    </w:p>
    <w:p>
      <w:r>
        <w:br w:type="page"/>
      </w:r>
    </w:p>
    <w:p>
      <w:pPr>
        <w:pStyle w:val="PolicyHeading"/>
        <w:pBdr>
          <w:bottom w:val="single" w:color="2D685A" w:sz="4" w:space="1"/>
        </w:pBdr>
        <w:spacing w:after="180" w:before="260"/>
        <w:jc w:val="left"/>
      </w:pPr>
      <w:bookmarkStart w:name="standard-preface" w:id="1"/>
      <w:bookmarkEnd w:id="1"/>
      <w:r>
        <w:rPr>
          <w:rFonts w:ascii="Bell MT" w:cs="Bell MT" w:eastAsia="Bell MT" w:hAnsi="Bell MT"/>
          <w:color w:val="64766E"/>
          <w:sz w:val="20"/>
          <w:szCs w:val="20"/>
        </w:rPr>
        <w:t xml:space="preserve">01   </w:t>
      </w:r>
      <w:r>
        <w:rPr>
          <w:rFonts w:ascii="Bell MT" w:cs="Bell MT" w:eastAsia="Bell MT" w:hAnsi="Bell MT"/>
          <w:b/>
          <w:bCs/>
          <w:color w:val="1B443A"/>
          <w:sz w:val="34"/>
          <w:szCs w:val="34"/>
        </w:rPr>
        <w:t xml:space="preserve">Preface</w:t>
      </w:r>
    </w:p>
    <w:p>
      <w:pPr>
        <w:pStyle w:val="PolicyBody"/>
        <w:spacing w:after="150" w:line="348"/>
        <w:jc w:val="both"/>
      </w:pPr>
      <w:r>
        <w:rPr>
          <w:rFonts w:ascii="Bell MT" w:cs="Bell MT" w:eastAsia="Bell MT" w:hAnsi="Bell MT"/>
          <w:sz w:val="22"/>
          <w:szCs w:val="22"/>
        </w:rPr>
        <w:t xml:space="preserve">Living Wage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2D685A" w:sz="4" w:space="1"/>
        </w:pBdr>
        <w:spacing w:after="180" w:before="260"/>
        <w:jc w:val="left"/>
      </w:pPr>
      <w:bookmarkStart w:name="standard-declaration" w:id="1"/>
      <w:bookmarkEnd w:id="1"/>
      <w:r>
        <w:rPr>
          <w:rFonts w:ascii="Bell MT" w:cs="Bell MT" w:eastAsia="Bell MT" w:hAnsi="Bell MT"/>
          <w:color w:val="64766E"/>
          <w:sz w:val="20"/>
          <w:szCs w:val="20"/>
        </w:rPr>
        <w:t xml:space="preserve">02   </w:t>
      </w:r>
      <w:r>
        <w:rPr>
          <w:rFonts w:ascii="Bell MT" w:cs="Bell MT" w:eastAsia="Bell MT" w:hAnsi="Bell MT"/>
          <w:b/>
          <w:bCs/>
          <w:color w:val="1B443A"/>
          <w:sz w:val="34"/>
          <w:szCs w:val="34"/>
        </w:rPr>
        <w:t xml:space="preserve">Policy Declaration</w:t>
      </w:r>
    </w:p>
    <w:p>
      <w:pPr>
        <w:pStyle w:val="PolicyBody"/>
        <w:spacing w:after="150" w:line="348"/>
        <w:jc w:val="both"/>
      </w:pPr>
      <w:r>
        <w:rPr>
          <w:rFonts w:ascii="Bell MT" w:cs="Bell MT" w:eastAsia="Bell MT" w:hAnsi="Bell MT"/>
          <w:sz w:val="22"/>
          <w:szCs w:val="22"/>
        </w:rPr>
        <w:t xml:space="preserve">Acme Specialty Chemicals affirms its commitment to implementing this Living Wage Policy in line with applicable requirements, proportionate controls, and regular management review.</w:t>
      </w:r>
    </w:p>
    <w:p>
      <w:pPr>
        <w:spacing w:before="165"/>
      </w:pPr>
      <w:r>
        <w:rPr>
          <w:sz w:val="2"/>
          <w:szCs w:val="2"/>
        </w:rPr>
        <w:t xml:space="preserve"> </w:t>
      </w:r>
    </w:p>
    <w:p>
      <w:pPr>
        <w:pStyle w:val="PolicyHeading"/>
        <w:pBdr>
          <w:bottom w:val="single" w:color="2D685A" w:sz="4" w:space="1"/>
        </w:pBdr>
        <w:spacing w:after="180" w:before="260"/>
        <w:jc w:val="left"/>
      </w:pPr>
      <w:bookmarkStart w:name="standard-scope" w:id="1"/>
      <w:bookmarkEnd w:id="1"/>
      <w:r>
        <w:rPr>
          <w:rFonts w:ascii="Bell MT" w:cs="Bell MT" w:eastAsia="Bell MT" w:hAnsi="Bell MT"/>
          <w:color w:val="64766E"/>
          <w:sz w:val="20"/>
          <w:szCs w:val="20"/>
        </w:rPr>
        <w:t xml:space="preserve">03   </w:t>
      </w:r>
      <w:r>
        <w:rPr>
          <w:rFonts w:ascii="Bell MT" w:cs="Bell MT" w:eastAsia="Bell MT" w:hAnsi="Bell MT"/>
          <w:b/>
          <w:bCs/>
          <w:color w:val="1B443A"/>
          <w:sz w:val="34"/>
          <w:szCs w:val="34"/>
        </w:rPr>
        <w:t xml:space="preserve">Scope</w:t>
      </w:r>
    </w:p>
    <w:p>
      <w:pPr>
        <w:pStyle w:val="PolicyBody"/>
        <w:spacing w:after="150" w:line="348"/>
        <w:jc w:val="both"/>
      </w:pPr>
      <w:r>
        <w:rPr>
          <w:rFonts w:ascii="Bell MT" w:cs="Bell MT" w:eastAsia="Bell MT" w:hAnsi="Bell MT"/>
          <w:sz w:val="22"/>
          <w:szCs w:val="22"/>
        </w:rPr>
        <w:t xml:space="preserve">This Living Wage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focus" w:id="1"/>
      <w:bookmarkEnd w:id="1"/>
      <w:r>
        <w:rPr>
          <w:rFonts w:ascii="Bell MT" w:cs="Bell MT" w:eastAsia="Bell MT" w:hAnsi="Bell MT"/>
          <w:color w:val="64766E"/>
          <w:sz w:val="20"/>
          <w:szCs w:val="20"/>
        </w:rPr>
        <w:t xml:space="preserve">04   </w:t>
      </w:r>
      <w:r>
        <w:rPr>
          <w:rFonts w:ascii="Bell MT" w:cs="Bell MT" w:eastAsia="Bell MT" w:hAnsi="Bell MT"/>
          <w:b/>
          <w:bCs/>
          <w:color w:val="1B443A"/>
          <w:sz w:val="34"/>
          <w:szCs w:val="34"/>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D2925"/>
                <w:sz w:val="26"/>
                <w:szCs w:val="26"/>
              </w:rPr>
              <w:t xml:space="preserve">  Living-Wage Benchmark &amp; Methodology</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D2925"/>
                <w:sz w:val="26"/>
                <w:szCs w:val="26"/>
              </w:rPr>
              <w:t xml:space="preserve">  Legal Minimum-Wage Compliance</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D2925"/>
                <w:sz w:val="26"/>
                <w:szCs w:val="26"/>
              </w:rPr>
              <w:t xml:space="preserve">  Benefits, Allowances &amp; Total Remuneration</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D2925"/>
                <w:sz w:val="26"/>
                <w:szCs w:val="26"/>
              </w:rPr>
              <w:t xml:space="preserve">  Pay Equity &amp; Transparency</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D2925"/>
                <w:sz w:val="26"/>
                <w:szCs w:val="26"/>
              </w:rPr>
              <w:t xml:space="preserve">  Timely, Traceable Payment</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qualitative" w:id="1"/>
      <w:bookmarkEnd w:id="1"/>
      <w:r>
        <w:rPr>
          <w:rFonts w:ascii="Bell MT" w:cs="Bell MT" w:eastAsia="Bell MT" w:hAnsi="Bell MT"/>
          <w:color w:val="64766E"/>
          <w:sz w:val="20"/>
          <w:szCs w:val="20"/>
        </w:rPr>
        <w:t xml:space="preserve">05   </w:t>
      </w:r>
      <w:r>
        <w:rPr>
          <w:rFonts w:ascii="Bell MT" w:cs="Bell MT" w:eastAsia="Bell MT" w:hAnsi="Bell MT"/>
          <w:b/>
          <w:bCs/>
          <w:color w:val="1B443A"/>
          <w:sz w:val="34"/>
          <w:szCs w:val="34"/>
        </w:rPr>
        <w:t xml:space="preserve">Qualitative Objectives</w:t>
      </w:r>
    </w:p>
    <w:p>
      <w:pPr>
        <w:spacing w:after="90"/>
      </w:pPr>
      <w:r>
        <w:rPr>
          <w:rFonts w:ascii="Bell MT" w:cs="Bell MT" w:eastAsia="Bell MT" w:hAnsi="Bell MT"/>
          <w:b/>
          <w:bCs/>
          <w:color w:val="2D685A"/>
          <w:sz w:val="18"/>
          <w:szCs w:val="18"/>
        </w:rPr>
        <w:t xml:space="preserve">01  </w:t>
      </w:r>
      <w:r>
        <w:rPr>
          <w:rFonts w:ascii="Bell MT" w:cs="Bell MT" w:eastAsia="Bell MT" w:hAnsi="Bell MT"/>
          <w:b/>
          <w:bCs/>
          <w:color w:val="1B443A"/>
          <w:sz w:val="26"/>
          <w:szCs w:val="26"/>
        </w:rPr>
        <w:t xml:space="preserve">Living-Wage Benchmark &amp; Methodology</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living-wage benchmark &amp; methodology.</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living-wage benchmark &amp; methodology.</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living-wage benchmark &amp; methodology.</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02  </w:t>
      </w:r>
      <w:r>
        <w:rPr>
          <w:rFonts w:ascii="Bell MT" w:cs="Bell MT" w:eastAsia="Bell MT" w:hAnsi="Bell MT"/>
          <w:b/>
          <w:bCs/>
          <w:color w:val="1B443A"/>
          <w:sz w:val="26"/>
          <w:szCs w:val="26"/>
        </w:rPr>
        <w:t xml:space="preserve">Legal Minimum-Wage Compliance</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legal minimum-wage compliance.</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legal minimum-wage compliance.</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legal minimum-wage compliance.</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03  </w:t>
      </w:r>
      <w:r>
        <w:rPr>
          <w:rFonts w:ascii="Bell MT" w:cs="Bell MT" w:eastAsia="Bell MT" w:hAnsi="Bell MT"/>
          <w:b/>
          <w:bCs/>
          <w:color w:val="1B443A"/>
          <w:sz w:val="26"/>
          <w:szCs w:val="26"/>
        </w:rPr>
        <w:t xml:space="preserve">Benefits, Allowances &amp; Total Remuneration</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benefits, allowances &amp; total remuneration.</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benefits, allowances &amp; total remuneration.</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benefits, allowances &amp; total remuneration.</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04  </w:t>
      </w:r>
      <w:r>
        <w:rPr>
          <w:rFonts w:ascii="Bell MT" w:cs="Bell MT" w:eastAsia="Bell MT" w:hAnsi="Bell MT"/>
          <w:b/>
          <w:bCs/>
          <w:color w:val="1B443A"/>
          <w:sz w:val="26"/>
          <w:szCs w:val="26"/>
        </w:rPr>
        <w:t xml:space="preserve">Pay Equity &amp; Transparency</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pay equity &amp; transparency.</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pay equity &amp; transparency.</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pay equity &amp; transparency.</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05  </w:t>
      </w:r>
      <w:r>
        <w:rPr>
          <w:rFonts w:ascii="Bell MT" w:cs="Bell MT" w:eastAsia="Bell MT" w:hAnsi="Bell MT"/>
          <w:b/>
          <w:bCs/>
          <w:color w:val="1B443A"/>
          <w:sz w:val="26"/>
          <w:szCs w:val="26"/>
        </w:rPr>
        <w:t xml:space="preserve">Timely, Traceable Payment</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timely, traceable payment.</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timely, traceable payment.</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timely, traceable payment.</w:t>
      </w:r>
    </w:p>
    <w:p>
      <w:pPr>
        <w:spacing w:before="70"/>
      </w:pPr>
      <w:r>
        <w:rPr>
          <w:sz w:val="2"/>
          <w:szCs w:val="2"/>
        </w:rPr>
        <w:t xml:space="preserve"> </w:t>
      </w:r>
    </w:p>
    <w:p>
      <w:pPr>
        <w:spacing w:before="165"/>
      </w:pPr>
      <w:r>
        <w:rPr>
          <w:sz w:val="2"/>
          <w:szCs w:val="2"/>
        </w:rPr>
        <w:t xml:space="preserve"> </w:t>
      </w:r>
    </w:p>
    <w:p>
      <w:pPr>
        <w:pStyle w:val="PolicyHeading"/>
        <w:pBdr>
          <w:bottom w:val="single" w:color="2D685A" w:sz="4" w:space="1"/>
        </w:pBdr>
        <w:spacing w:after="180" w:before="260"/>
        <w:jc w:val="left"/>
      </w:pPr>
      <w:bookmarkStart w:name="standard-quantitative" w:id="1"/>
      <w:bookmarkEnd w:id="1"/>
      <w:r>
        <w:rPr>
          <w:rFonts w:ascii="Bell MT" w:cs="Bell MT" w:eastAsia="Bell MT" w:hAnsi="Bell MT"/>
          <w:color w:val="64766E"/>
          <w:sz w:val="20"/>
          <w:szCs w:val="20"/>
        </w:rPr>
        <w:t xml:space="preserve">06   </w:t>
      </w:r>
      <w:r>
        <w:rPr>
          <w:rFonts w:ascii="Bell MT" w:cs="Bell MT" w:eastAsia="Bell MT" w:hAnsi="Bell MT"/>
          <w:b/>
          <w:bCs/>
          <w:color w:val="1B443A"/>
          <w:sz w:val="34"/>
          <w:szCs w:val="34"/>
        </w:rPr>
        <w:t xml:space="preserve">Quantitative Targets</w:t>
      </w:r>
    </w:p>
    <w:p>
      <w:pPr>
        <w:spacing w:after="120"/>
      </w:pPr>
      <w:r>
        <w:rPr>
          <w:rFonts w:ascii="Bell MT" w:cs="Bell MT" w:eastAsia="Bell MT" w:hAnsi="Bell MT"/>
          <w:i/>
          <w:iCs/>
          <w:color w:val="64766E"/>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01</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Living-Wage Benchmark &amp; Methodology</w:t>
            </w:r>
          </w:p>
          <w:p>
            <w:r>
              <w:rPr>
                <w:rFonts w:ascii="Bell MT" w:cs="Bell MT" w:eastAsia="Bell MT" w:hAnsi="Bell MT"/>
                <w:sz w:val="22"/>
                <w:szCs w:val="22"/>
              </w:rPr>
              <w:t xml:space="preserve">Achieve the approved living-wage benchmark &amp; methodology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02</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Legal Minimum-Wage Compliance</w:t>
            </w:r>
          </w:p>
          <w:p>
            <w:r>
              <w:rPr>
                <w:rFonts w:ascii="Bell MT" w:cs="Bell MT" w:eastAsia="Bell MT" w:hAnsi="Bell MT"/>
                <w:sz w:val="22"/>
                <w:szCs w:val="22"/>
              </w:rPr>
              <w:t xml:space="preserve">Achieve the approved legal minimum-wage compliance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03</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Benefits, Allowances &amp; Total Remuneration</w:t>
            </w:r>
          </w:p>
          <w:p>
            <w:r>
              <w:rPr>
                <w:rFonts w:ascii="Bell MT" w:cs="Bell MT" w:eastAsia="Bell MT" w:hAnsi="Bell MT"/>
                <w:sz w:val="22"/>
                <w:szCs w:val="22"/>
              </w:rPr>
              <w:t xml:space="preserve">Achieve the approved benefits, allowances &amp; total remuneration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sdg" w:id="1"/>
      <w:bookmarkEnd w:id="1"/>
      <w:r>
        <w:rPr>
          <w:rFonts w:ascii="Bell MT" w:cs="Bell MT" w:eastAsia="Bell MT" w:hAnsi="Bell MT"/>
          <w:color w:val="64766E"/>
          <w:sz w:val="20"/>
          <w:szCs w:val="20"/>
        </w:rPr>
        <w:t xml:space="preserve">07   </w:t>
      </w:r>
      <w:r>
        <w:rPr>
          <w:rFonts w:ascii="Bell MT" w:cs="Bell MT" w:eastAsia="Bell MT" w:hAnsi="Bell MT"/>
          <w:b/>
          <w:bCs/>
          <w:color w:val="1B443A"/>
          <w:sz w:val="34"/>
          <w:szCs w:val="34"/>
        </w:rPr>
        <w:t xml:space="preserve">SDG Alignment</w:t>
      </w:r>
    </w:p>
    <w:p>
      <w:pPr>
        <w:spacing w:after="130"/>
      </w:pPr>
      <w:r>
        <w:rPr>
          <w:rFonts w:ascii="Bell MT" w:cs="Bell MT" w:eastAsia="Bell MT" w:hAnsi="Bell MT"/>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No Poverty</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Good Health</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Gender Equality</w:t>
            </w:r>
          </w:p>
        </w:tc>
      </w:tr>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Decent Work</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Reduced Inequalities</w:t>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responsibilities" w:id="1"/>
      <w:bookmarkEnd w:id="1"/>
      <w:r>
        <w:rPr>
          <w:rFonts w:ascii="Bell MT" w:cs="Bell MT" w:eastAsia="Bell MT" w:hAnsi="Bell MT"/>
          <w:color w:val="64766E"/>
          <w:sz w:val="20"/>
          <w:szCs w:val="20"/>
        </w:rPr>
        <w:t xml:space="preserve">08   </w:t>
      </w:r>
      <w:r>
        <w:rPr>
          <w:rFonts w:ascii="Bell MT" w:cs="Bell MT" w:eastAsia="Bell MT" w:hAnsi="Bell MT"/>
          <w:b/>
          <w:bCs/>
          <w:color w:val="1B443A"/>
          <w:sz w:val="34"/>
          <w:szCs w:val="34"/>
        </w:rPr>
        <w:t xml:space="preserve">Roles &amp; Responsibilities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B443A"/>
                <w:sz w:val="26"/>
                <w:szCs w:val="26"/>
              </w:rPr>
              <w:t xml:space="preserve">  Board &amp; Senior Management</w:t>
            </w:r>
          </w:p>
          <w:p>
            <w:r>
              <w:rPr>
                <w:rFonts w:ascii="Bell MT" w:cs="Bell MT" w:eastAsia="Bell MT" w:hAnsi="Bell MT"/>
                <w:sz w:val="22"/>
                <w:szCs w:val="22"/>
              </w:rPr>
              <w:t xml:space="preserve">Approve the living-wage commitment and review progress against wage and benefit objectives.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B443A"/>
                <w:sz w:val="26"/>
                <w:szCs w:val="26"/>
              </w:rPr>
              <w:t xml:space="preserve">  Human Resources</w:t>
            </w:r>
          </w:p>
          <w:p>
            <w:r>
              <w:rPr>
                <w:rFonts w:ascii="Bell MT" w:cs="Bell MT" w:eastAsia="Bell MT" w:hAnsi="Bell MT"/>
                <w:sz w:val="22"/>
                <w:szCs w:val="22"/>
              </w:rPr>
              <w:t xml:space="preserve">Maintain wage benchmarks, implement equitable compensation, and administer wage-related grievance handling.</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B443A"/>
                <w:sz w:val="26"/>
                <w:szCs w:val="26"/>
              </w:rPr>
              <w:t xml:space="preserve">  Finance &amp; Payroll</w:t>
            </w:r>
          </w:p>
          <w:p>
            <w:r>
              <w:rPr>
                <w:rFonts w:ascii="Bell MT" w:cs="Bell MT" w:eastAsia="Bell MT" w:hAnsi="Bell MT"/>
                <w:sz w:val="22"/>
                <w:szCs w:val="22"/>
              </w:rPr>
              <w:t xml:space="preserve">Ensure accurate, timely, traceable payment and maintain records for compensation and statutory benefits.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B443A"/>
                <w:sz w:val="26"/>
                <w:szCs w:val="26"/>
              </w:rPr>
              <w:t xml:space="preserve">  Line Managers</w:t>
            </w:r>
          </w:p>
          <w:p>
            <w:r>
              <w:rPr>
                <w:rFonts w:ascii="Bell MT" w:cs="Bell MT" w:eastAsia="Bell MT" w:hAnsi="Bell MT"/>
                <w:sz w:val="22"/>
                <w:szCs w:val="22"/>
              </w:rPr>
              <w:t xml:space="preserve">Communicate compensation practices clearly and escalate concerns affecting employee welfare.</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B443A"/>
                <w:sz w:val="26"/>
                <w:szCs w:val="26"/>
              </w:rPr>
              <w:t xml:space="preserve">  Employees &amp; Workers</w:t>
            </w:r>
          </w:p>
          <w:p>
            <w:r>
              <w:rPr>
                <w:rFonts w:ascii="Bell MT" w:cs="Bell MT" w:eastAsia="Bell MT" w:hAnsi="Bell MT"/>
                <w:sz w:val="22"/>
                <w:szCs w:val="22"/>
              </w:rPr>
              <w:t xml:space="preserve">Use available channels to raise wage or benefit concerns without fear of retaliation.</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monitoring" w:id="1"/>
      <w:bookmarkEnd w:id="1"/>
      <w:r>
        <w:rPr>
          <w:rFonts w:ascii="Bell MT" w:cs="Bell MT" w:eastAsia="Bell MT" w:hAnsi="Bell MT"/>
          <w:color w:val="64766E"/>
          <w:sz w:val="20"/>
          <w:szCs w:val="20"/>
        </w:rPr>
        <w:t xml:space="preserve">09   </w:t>
      </w:r>
      <w:r>
        <w:rPr>
          <w:rFonts w:ascii="Bell MT" w:cs="Bell MT" w:eastAsia="Bell MT" w:hAnsi="Bell MT"/>
          <w:b/>
          <w:bCs/>
          <w:color w:val="1B443A"/>
          <w:sz w:val="34"/>
          <w:szCs w:val="34"/>
        </w:rPr>
        <w:t xml:space="preserve">Monitoring, Reporting &amp; Transparency</w:t>
      </w:r>
    </w:p>
    <w:p>
      <w:pPr>
        <w:pStyle w:val="PolicyBody"/>
        <w:spacing w:after="150" w:line="348"/>
        <w:jc w:val="both"/>
      </w:pPr>
      <w:r>
        <w:rPr>
          <w:rFonts w:ascii="Bell MT" w:cs="Bell MT" w:eastAsia="Bell MT" w:hAnsi="Bell MT"/>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2D685A" w:sz="4" w:space="1"/>
        </w:pBdr>
        <w:spacing w:after="180" w:before="260"/>
        <w:jc w:val="left"/>
      </w:pPr>
      <w:bookmarkStart w:name="standard-review" w:id="1"/>
      <w:bookmarkEnd w:id="1"/>
      <w:r>
        <w:rPr>
          <w:rFonts w:ascii="Bell MT" w:cs="Bell MT" w:eastAsia="Bell MT" w:hAnsi="Bell MT"/>
          <w:color w:val="64766E"/>
          <w:sz w:val="20"/>
          <w:szCs w:val="20"/>
        </w:rPr>
        <w:t xml:space="preserve">10   </w:t>
      </w:r>
      <w:r>
        <w:rPr>
          <w:rFonts w:ascii="Bell MT" w:cs="Bell MT" w:eastAsia="Bell MT" w:hAnsi="Bell MT"/>
          <w:b/>
          <w:bCs/>
          <w:color w:val="1B443A"/>
          <w:sz w:val="34"/>
          <w:szCs w:val="34"/>
        </w:rPr>
        <w:t xml:space="preserve">Review Mechanism &amp; Continuous Improvement</w:t>
      </w:r>
    </w:p>
    <w:p>
      <w:pPr>
        <w:pStyle w:val="PolicyBody"/>
        <w:spacing w:after="150" w:line="348"/>
        <w:jc w:val="both"/>
      </w:pPr>
      <w:r>
        <w:rPr>
          <w:rFonts w:ascii="Bell MT" w:cs="Bell MT" w:eastAsia="Bell MT" w:hAnsi="Bell MT"/>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ell MT" w:cs="Bell MT" w:eastAsia="Bell MT" w:hAnsi="Bell MT"/>
          <w:b/>
          <w:bCs/>
          <w:color w:val="1B443A"/>
        </w:rPr>
        <w:t xml:space="preserve">Approved by: </w:t>
      </w:r>
      <w:r>
        <w:rPr>
          <w:rFonts w:ascii="Bell MT" w:cs="Bell MT" w:eastAsia="Bell MT" w:hAnsi="Bell MT"/>
        </w:rPr>
        <w:t xml:space="preserve">Managing Director</w:t>
      </w:r>
    </w:p>
    <w:p>
      <w:r>
        <w:br w:type="page"/>
      </w:r>
    </w:p>
    <w:p>
      <w:pPr>
        <w:spacing w:after="180"/>
        <w:jc w:val="left"/>
      </w:pPr>
      <w:bookmarkStart w:name="acknowledgement" w:id="1"/>
      <w:bookmarkEnd w:id="1"/>
      <w:r>
        <w:rPr>
          <w:rFonts w:ascii="Bell MT" w:cs="Bell MT" w:eastAsia="Bell MT" w:hAnsi="Bell MT"/>
          <w:b/>
          <w:bCs/>
          <w:i w:val="false"/>
          <w:iCs w:val="false"/>
          <w:color w:val="1B443A"/>
          <w:sz w:val="36"/>
          <w:szCs w:val="36"/>
        </w:rPr>
        <w:t xml:space="preserve">Employee Acknowledgement Form</w:t>
      </w:r>
    </w:p>
    <w:p>
      <w:pPr>
        <w:spacing w:after="260" w:line="348"/>
        <w:jc w:val="both"/>
      </w:pPr>
      <w:r>
        <w:rPr>
          <w:rFonts w:ascii="Bell MT" w:cs="Bell MT" w:eastAsia="Bell MT" w:hAnsi="Bell MT"/>
          <w:sz w:val="22"/>
          <w:szCs w:val="22"/>
        </w:rPr>
        <w:t xml:space="preserve">I acknowledge that I have read and understood the Living Wage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NAME</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ID</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DEPARTMENT</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DATE</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SIGNATURE</w:t>
            </w:r>
          </w:p>
          <w:p>
            <w:pPr>
              <w:pBdr>
                <w:bottom w:val="single" w:color="64766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9" w:sz="5" w:space="1"/>
      </w:pBdr>
      <w:spacing w:before="80"/>
      <w:jc w:val="left"/>
    </w:pPr>
    <w:r>
      <w:rPr>
        <w:rFonts w:ascii="Bell MT" w:cs="Bell MT" w:eastAsia="Bell MT" w:hAnsi="Bell MT"/>
        <w:i w:val="false"/>
        <w:iCs w:val="false"/>
        <w:color w:val="64766E"/>
        <w:sz w:val="14"/>
        <w:szCs w:val="14"/>
      </w:rPr>
      <w:t xml:space="preserve">Effective 2025-01-15   -   Revision 01   -   Page </w:t>
    </w:r>
    <w:r>
      <w:rPr>
        <w:rFonts w:ascii="Bell MT" w:cs="Bell MT" w:eastAsia="Bell MT" w:hAnsi="Bell MT"/>
        <w:color w:val="64766E"/>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E0D9" w:sz="5" w:space="1"/>
      </w:pBdr>
      <w:spacing w:after="60"/>
      <w:jc w:val="left"/>
    </w:pPr>
    <w:r>
      <w:rPr>
        <w:rFonts w:ascii="Bell MT" w:cs="Bell MT" w:eastAsia="Bell MT" w:hAnsi="Bell MT"/>
        <w:b/>
        <w:bCs/>
        <w:color w:val="64766E"/>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Bell MT" w:cs="Bell MT" w:eastAsia="Bell MT" w:hAnsi="Bell MT"/>
        <w:color w:val="2D685A"/>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Bell MT" w:cs="Bell MT" w:eastAsia="Bell MT" w:hAnsi="Bell MT"/>
        <w:b/>
        <w:bCs/>
        <w:color w:val="2D68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ll MT" w:cs="Bell MT" w:eastAsia="Bell MT" w:hAnsi="Bell MT"/>
        <w:color w:val="1D29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ell MT" w:cs="Bell MT" w:eastAsia="Bell MT" w:hAnsi="Bell MT"/>
      <w:b/>
      <w:bCs/>
      <w:color w:val="1B443A"/>
      <w:sz w:val="34"/>
      <w:szCs w:val="34"/>
    </w:rPr>
  </w:style>
  <w:style w:type="paragraph" w:styleId="PolicyBody">
    <w:name w:val="Policy Body"/>
    <w:basedOn w:val="Normal"/>
    <w:next w:val="PolicyBody"/>
    <w:qFormat/>
    <w:pPr>
      <w:spacing w:after="177" w:line="348"/>
    </w:pPr>
    <w:rPr>
      <w:rFonts w:ascii="Bell MT" w:cs="Bell MT" w:eastAsia="Bell MT" w:hAnsi="Bell MT"/>
      <w:color w:val="1D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f757c1256280031b6631667efe8263bd57e7bd3.jpg"/><Relationship Id="rId12" Type="http://schemas.openxmlformats.org/officeDocument/2006/relationships/image" Target="media/415ab06f12ba76a70969ac10d40066e07d40e47e.jpg"/><Relationship Id="rId13" Type="http://schemas.openxmlformats.org/officeDocument/2006/relationships/image" Target="media/1234bbd7122344b9645e7c28f78749c312a78f80.jpg"/><Relationship Id="rId14" Type="http://schemas.openxmlformats.org/officeDocument/2006/relationships/image" Target="media/edf2f3178b56855a221bd0f9ffd3edfdfabf23f9.jpg"/><Relationship Id="rId15" Type="http://schemas.openxmlformats.org/officeDocument/2006/relationships/image" Target="media/62e80bf10812089b5b8366d350ae6d64ec900544.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 - Acme Specialty Chemicals Pvt. Ltd.</dc:title>
  <dc:creator>PolicyCraft</dc:creator>
  <cp:lastModifiedBy>Un-named</cp:lastModifiedBy>
  <cp:revision>1</cp:revision>
  <dcterms:created xsi:type="dcterms:W3CDTF">2026-09-08T05:39:54.550Z</dcterms:created>
  <dcterms:modified xsi:type="dcterms:W3CDTF">2026-09-08T05:39:54.550Z</dcterms:modified>
</cp:coreProperties>
</file>

<file path=docProps/custom.xml><?xml version="1.0" encoding="utf-8"?>
<Properties xmlns="http://schemas.openxmlformats.org/officeDocument/2006/custom-properties" xmlns:vt="http://schemas.openxmlformats.org/officeDocument/2006/docPropsVTypes"/>
</file>