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Sustainable Procurement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Industry &amp; Innovation</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Responsible Consumption</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Peace &amp; Justice</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Procurement Team</w:t>
            </w:r>
          </w:p>
          <w:p>
            <w:r>
              <w:rPr>
                <w:rFonts w:ascii="Bell MT" w:cs="Bell MT" w:eastAsia="Bell MT" w:hAnsi="Bell MT"/>
                <w:sz w:val="22"/>
                <w:szCs w:val="22"/>
              </w:rPr>
              <w:t xml:space="preserve">Integrate ESG and sustainability criteria into supplier selection, contracting, and ongoing performance management.</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2026-09-08T05:37:51.634Z</dcterms:created>
  <dcterms:modified xsi:type="dcterms:W3CDTF">2026-09-08T05:37:51.634Z</dcterms:modified>
</cp:coreProperties>
</file>

<file path=docProps/custom.xml><?xml version="1.0" encoding="utf-8"?>
<Properties xmlns="http://schemas.openxmlformats.org/officeDocument/2006/custom-properties" xmlns:vt="http://schemas.openxmlformats.org/officeDocument/2006/docPropsVTypes"/>
</file>