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0" relativeHeight="1">
            <wp:simplePos x="0" y="0"/>
            <wp:positionH relativeFrom="page">
              <wp:align>center</wp:align>
            </wp:positionH>
            <wp:positionV relativeFrom="page">
              <wp:align>center</wp:align>
            </wp:positionV>
            <wp:extent cx="7562850" cy="10696575"/>
            <wp:effectExtent t="0" r="0" b="0" l="0"/>
            <wp:wrapNone/>
            <wp:docPr id="1" name="Custom cover background" descr="Custom cover background" title="Custom 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1" layoutInCell="0" relativeHeight="108">
            <wp:simplePos x="0" y="0"/>
            <wp:positionH relativeFrom="page">
              <wp:posOffset>792000</wp:posOffset>
            </wp:positionH>
            <wp:positionV relativeFrom="page">
              <wp:posOffset>8604000</wp:posOffset>
            </wp:positionV>
            <wp:extent cx="5972175" cy="38100"/>
            <wp:effectExtent t="0" r="0" b="0" l="0"/>
            <wp:wrapNone/>
            <wp:docPr id="1" name="Metadata divider" descr="Metadata divider" title="Metadata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8100"/>
                    </a:xfrm>
                    <a:prstGeom prst="rect">
                      <a:avLst/>
                    </a:prstGeom>
                  </pic:spPr>
                </pic:pic>
              </a:graphicData>
            </a:graphic>
          </wp:anchor>
        </w:drawing>
      </w:r>
      <w:r>
        <w:pict>
          <v:shape id="cover-text-cover-policy-title" type="#_x0000_t202" filled="f" stroked="f" o:allowincell="f" style="position:absolute;margin-left:62.36pt;margin-top:246.61pt;width:470.55pt;height:170.08pt;rotation:0;z-index:110;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78" w:lineRule="auto"/>
                  </w:pPr>
                  <w:r>
                    <w:rPr>
                      <w:rFonts w:ascii="Public Sans" w:cs="Public Sans" w:eastAsia="Public Sans" w:hAnsi="Public Sans"/>
                      <w:color w:val="173F4B"/>
                      <w:sz w:val="68"/>
                      <w:szCs w:val="68"/>
                      <w:spacing w:val="0"/>
                    </w:rPr>
                    <w:t xml:space="preserve">Sustainable Procurement</w:t>
                    <w:br/>
                    <w:t xml:space="preserve">Policy</w:t>
                  </w:r>
                </w:p>
              </w:txbxContent>
            </v:textbox>
            <w10:wrap type="none" anchorx="page" anchory="page"/>
          </v:shape>
        </w:pict>
      </w:r>
      <w:r>
        <w:pict>
          <v:shape id="cover-text-cover-company-name" type="#_x0000_t202" filled="f" stroked="f" o:allowincell="f" style="position:absolute;margin-left:62.36pt;margin-top:90.71pt;width:470.55pt;height:51.02pt;rotation:0;z-index:111;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360" w:lineRule="auto"/>
                  </w:pPr>
                  <w:r>
                    <w:rPr>
                      <w:rFonts w:ascii="Public Sans" w:cs="Public Sans" w:eastAsia="Public Sans" w:hAnsi="Public Sans"/>
                      <w:b/>
                      <w:bCs/>
                      <w:color w:val="66757A"/>
                      <w:sz w:val="24"/>
                      <w:szCs w:val="24"/>
                    </w:rPr>
                    <w:t xml:space="preserve">Acme Specialty Chemicals Pvt. Ltd.</w:t>
                  </w:r>
                </w:p>
              </w:txbxContent>
            </v:textbox>
            <w10:wrap type="none" anchorx="page" anchory="page"/>
          </v:shape>
        </w:pict>
      </w:r>
      <w:r>
        <w:pict>
          <v:shape id="cover-text-cover-effective-date" type="#_x0000_t202" filled="f" stroked="f" o:allowincell="f" style="position:absolute;margin-left:62.36pt;margin-top:722.83pt;width:257.95pt;height:34.02pt;rotation:0;z-index:112;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192529"/>
                      <w:sz w:val="20"/>
                      <w:szCs w:val="20"/>
                    </w:rPr>
                    <w:t xml:space="preserve">2025-01-15</w:t>
                  </w:r>
                </w:p>
              </w:txbxContent>
            </v:textbox>
            <w10:wrap type="none" anchorx="page" anchory="page"/>
          </v:shape>
        </w:pict>
      </w:r>
      <w:r>
        <w:pict>
          <v:shape id="cover-text-cover-document-number" type="#_x0000_t202" filled="f" stroked="f" o:allowincell="f" style="position:absolute;margin-left:62.36pt;margin-top:765.35pt;width:257.95pt;height:28.35pt;rotation:0;z-index:113;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192529"/>
                      <w:sz w:val="20"/>
                      <w:szCs w:val="20"/>
                    </w:rPr>
                    <w:t xml:space="preserve">ASC-ENV-001</w:t>
                  </w:r>
                </w:p>
              </w:txbxContent>
            </v:textbox>
            <w10:wrap type="none" anchorx="page" anchory="page"/>
          </v:shape>
        </w:pict>
      </w:r>
      <w:r>
        <w:pict>
          <v:shape id="cover-text-cover-revision" type="#_x0000_t202" filled="f" stroked="f" o:allowincell="f" style="position:absolute;margin-left:337.32pt;margin-top:765.35pt;width:257.95pt;height:28.35pt;rotation:0;z-index:114;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192529"/>
                      <w:sz w:val="20"/>
                      <w:szCs w:val="20"/>
                    </w:rPr>
                    <w:t xml:space="preserve">01</w:t>
                  </w:r>
                </w:p>
              </w:txbxContent>
            </v:textbox>
            <w10:wrap type="none" anchorx="page" anchory="page"/>
          </v:shape>
        </w:pict>
      </w:r>
      <w:r>
        <w:pict>
          <v:shape id="cover-text-cover-next-review" type="#_x0000_t202" filled="f" stroked="f" o:allowincell="f" style="position:absolute;margin-left:337.32pt;margin-top:722.83pt;width:257.95pt;height:34.02pt;rotation:0;z-index:115;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88" w:lineRule="auto"/>
                  </w:pPr>
                  <w:r>
                    <w:rPr>
                      <w:rFonts w:ascii="Public Sans" w:cs="Public Sans" w:eastAsia="Public Sans" w:hAnsi="Public Sans"/>
                      <w:color w:val="192529"/>
                      <w:sz w:val="20"/>
                      <w:szCs w:val="20"/>
                    </w:rPr>
                    <w:t xml:space="preserve">2027-01-14</w:t>
                  </w:r>
                </w:p>
              </w:txbxContent>
            </v:textbox>
            <w10:wrap type="none" anchorx="page" anchory="page"/>
          </v:shape>
        </w:pict>
      </w:r>
      <w:r>
        <w:pict>
          <v:shape id="cover-text-cover-document-number-label" type="#_x0000_t202" filled="f" stroked="f" o:allowincell="f" style="position:absolute;margin-left:62.36pt;margin-top:697.32pt;width:257.95pt;height:22.68pt;rotation:0;z-index:116;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66757A"/>
                      <w:sz w:val="15"/>
                      <w:szCs w:val="15"/>
                      <w:spacing w:val="12"/>
                    </w:rPr>
                    <w:t xml:space="preserve">DOCUMENT NO.</w:t>
                  </w:r>
                </w:p>
              </w:txbxContent>
            </v:textbox>
            <w10:wrap type="none" anchorx="page" anchory="page"/>
          </v:shape>
        </w:pict>
      </w:r>
      <w:r>
        <w:pict>
          <v:shape id="cover-text-cover-effective-date-label" type="#_x0000_t202" filled="f" stroked="f" o:allowincell="f" style="position:absolute;margin-left:337.32pt;margin-top:697.32pt;width:257.95pt;height:22.68pt;rotation:0;z-index:117;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66757A"/>
                      <w:sz w:val="15"/>
                      <w:szCs w:val="15"/>
                      <w:spacing w:val="12"/>
                    </w:rPr>
                    <w:t xml:space="preserve">EFFECTIVE DATE</w:t>
                  </w:r>
                </w:p>
              </w:txbxContent>
            </v:textbox>
            <w10:wrap type="none" anchorx="page" anchory="page"/>
          </v:shape>
        </w:pict>
      </w:r>
      <w:r>
        <w:pict>
          <v:shape id="cover-text-cover-revision-label" type="#_x0000_t202" filled="f" stroked="f" o:allowincell="f" style="position:absolute;margin-left:62.36pt;margin-top:739.84pt;width:257.95pt;height:22.68pt;rotation:0;z-index:118;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66757A"/>
                      <w:sz w:val="15"/>
                      <w:szCs w:val="15"/>
                      <w:spacing w:val="12"/>
                    </w:rPr>
                    <w:t xml:space="preserve">REVISION</w:t>
                  </w:r>
                </w:p>
              </w:txbxContent>
            </v:textbox>
            <w10:wrap type="none" anchorx="page" anchory="page"/>
          </v:shape>
        </w:pict>
      </w:r>
      <w:r>
        <w:pict>
          <v:shape id="cover-text-cover-next-review-label" type="#_x0000_t202" filled="f" stroked="f" o:allowincell="f" style="position:absolute;margin-left:337.32pt;margin-top:739.84pt;width:257.95pt;height:22.68pt;rotation:0;z-index:119;opacity:100%;mso-position-horizontal:absolute;mso-position-horizontal-relative:page;mso-position-vertical:absolute;mso-position-vertical-relative:page;mso-wrap-style:none">
            <v:textbox inset="0,0,0,0" style="mso-fit-shape-to-text:true;v-text-anchor:top">
              <w:txbxContent>
                <w:p>
                  <w:pPr>
                    <w:jc w:val="left"/>
                    <w:ind w:left="0" w:right="0" w:firstLine="0"/>
                    <w:spacing w:before="0" w:after="0" w:line="240" w:lineRule="auto"/>
                  </w:pPr>
                  <w:r>
                    <w:rPr>
                      <w:rFonts w:ascii="Public Sans" w:cs="Public Sans" w:eastAsia="Public Sans" w:hAnsi="Public Sans"/>
                      <w:color w:val="66757A"/>
                      <w:sz w:val="15"/>
                      <w:szCs w:val="15"/>
                      <w:spacing w:val="12"/>
                    </w:rPr>
                    <w:t xml:space="preserve">NEXT REVIEW</w:t>
                  </w:r>
                </w:p>
              </w:txbxContent>
            </v:textbox>
            <w10:wrap type="none" anchorx="page" anchory="page"/>
          </v:shape>
        </w:pict>
      </w:r>
    </w:p>
    <w:p>
      <w:pPr>
        <w:sectPr>
          <w:pgSz w:w="11906" w:h="16838" w:orient="portrait"/>
          <w:pgMar w:top="0" w:right="0" w:bottom="0" w:left="0" w:header="708" w:footer="708" w:gutter="0"/>
          <w:pgNumType/>
          <w:titlePg/>
          <w:docGrid w:linePitch="360"/>
        </w:sectPr>
      </w:pP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6E0E2" w:sz="5" w:space="1"/>
            </w:tcBorders>
            <w:tcMar>
              <w:top w:type="dxa" w:w="120"/>
              <w:left w:type="dxa" w:w="0"/>
              <w:bottom w:type="dxa" w:w="120"/>
              <w:right w:type="dxa" w:w="0"/>
            </w:tcMar>
            <w:vAlign w:val="center"/>
          </w:tcPr>
          <w:p>
            <w:pPr>
              <w:jc w:val="center"/>
            </w:pPr>
            <w:r>
              <w:rPr>
                <w:rFonts w:ascii="Public Sans" w:cs="Public Sans" w:eastAsia="Public Sans" w:hAnsi="Public Sans"/>
                <w:b w:val="false"/>
                <w:bCs w:val="false"/>
                <w:color w:val="66757A"/>
                <w:sz w:val="20"/>
                <w:szCs w:val="20"/>
              </w:rPr>
              <w:t xml:space="preserve">01</w:t>
            </w:r>
          </w:p>
        </w:tc>
        <w:tc>
          <w:tcPr>
            <w:tcW w:type="dxa" w:w="895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Code of Conduct &amp; Onboarding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6E0E2" w:sz="5" w:space="1"/>
            </w:tcBorders>
            <w:tcMar>
              <w:top w:type="dxa" w:w="120"/>
              <w:left w:type="dxa" w:w="0"/>
              <w:bottom w:type="dxa" w:w="120"/>
              <w:right w:type="dxa" w:w="0"/>
            </w:tcMar>
            <w:vAlign w:val="center"/>
          </w:tcPr>
          <w:p>
            <w:pPr>
              <w:jc w:val="center"/>
            </w:pPr>
            <w:r>
              <w:rPr>
                <w:rFonts w:ascii="Public Sans" w:cs="Public Sans" w:eastAsia="Public Sans" w:hAnsi="Public Sans"/>
                <w:b w:val="false"/>
                <w:bCs w:val="false"/>
                <w:color w:val="66757A"/>
                <w:sz w:val="20"/>
                <w:szCs w:val="20"/>
              </w:rPr>
              <w:t xml:space="preserve">02</w:t>
            </w:r>
          </w:p>
        </w:tc>
        <w:tc>
          <w:tcPr>
            <w:tcW w:type="dxa" w:w="895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Due Diligence &amp; Risk Assessment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6E0E2" w:sz="5" w:space="1"/>
            </w:tcBorders>
            <w:tcMar>
              <w:top w:type="dxa" w:w="120"/>
              <w:left w:type="dxa" w:w="0"/>
              <w:bottom w:type="dxa" w:w="120"/>
              <w:right w:type="dxa" w:w="0"/>
            </w:tcMar>
            <w:vAlign w:val="center"/>
          </w:tcPr>
          <w:p>
            <w:pPr>
              <w:jc w:val="center"/>
            </w:pPr>
            <w:r>
              <w:rPr>
                <w:rFonts w:ascii="Public Sans" w:cs="Public Sans" w:eastAsia="Public Sans" w:hAnsi="Public Sans"/>
                <w:b w:val="false"/>
                <w:bCs w:val="false"/>
                <w:color w:val="66757A"/>
                <w:sz w:val="20"/>
                <w:szCs w:val="20"/>
              </w:rPr>
              <w:t xml:space="preserve">03</w:t>
            </w:r>
          </w:p>
        </w:tc>
        <w:tc>
          <w:tcPr>
            <w:tcW w:type="dxa" w:w="895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Environmental Requirements for Suppliers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6E0E2" w:sz="5" w:space="1"/>
            </w:tcBorders>
            <w:tcMar>
              <w:top w:type="dxa" w:w="120"/>
              <w:left w:type="dxa" w:w="0"/>
              <w:bottom w:type="dxa" w:w="120"/>
              <w:right w:type="dxa" w:w="0"/>
            </w:tcMar>
            <w:vAlign w:val="center"/>
          </w:tcPr>
          <w:p>
            <w:pPr>
              <w:jc w:val="center"/>
            </w:pPr>
            <w:r>
              <w:rPr>
                <w:rFonts w:ascii="Public Sans" w:cs="Public Sans" w:eastAsia="Public Sans" w:hAnsi="Public Sans"/>
                <w:b w:val="false"/>
                <w:bCs w:val="false"/>
                <w:color w:val="66757A"/>
                <w:sz w:val="20"/>
                <w:szCs w:val="20"/>
              </w:rPr>
              <w:t xml:space="preserve">04</w:t>
            </w:r>
          </w:p>
        </w:tc>
        <w:tc>
          <w:tcPr>
            <w:tcW w:type="dxa" w:w="895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Ethical Sourcing &amp; Anti-Corruption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D6E0E2" w:sz="5" w:space="1"/>
            </w:tcBorders>
            <w:tcMar>
              <w:top w:type="dxa" w:w="120"/>
              <w:left w:type="dxa" w:w="0"/>
              <w:bottom w:type="dxa" w:w="120"/>
              <w:right w:type="dxa" w:w="0"/>
            </w:tcMar>
            <w:vAlign w:val="center"/>
          </w:tcPr>
          <w:p>
            <w:pPr>
              <w:jc w:val="center"/>
            </w:pPr>
            <w:r>
              <w:rPr>
                <w:rFonts w:ascii="Public Sans" w:cs="Public Sans" w:eastAsia="Public Sans" w:hAnsi="Public Sans"/>
                <w:b w:val="false"/>
                <w:bCs w:val="false"/>
                <w:color w:val="66757A"/>
                <w:sz w:val="20"/>
                <w:szCs w:val="20"/>
              </w:rPr>
              <w:t xml:space="preserve">05</w:t>
            </w:r>
          </w:p>
        </w:tc>
        <w:tc>
          <w:tcPr>
            <w:tcW w:type="dxa" w:w="8958"/>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Labour &amp; Human Rights in Supply Chain</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code of conduct &amp; onboarding.</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supplier due diligence &amp; risk assessment.</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environmental requirements for suppliers.</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ethical sourcing &amp; anti-corruption.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labour &amp; human rights in supply chain.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labour &amp; human rights in supply chain.</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Code of Conduct &amp; Onboarding</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supplier code of conduct &amp; onboarding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Supplier Due Diligence &amp; Risk Assessment</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supplier due diligence &amp; risk assessment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Environmental Requirements for Suppliers</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environmental requirements for suppliers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EAF2F3" w:color="EAF2F3" w:val="solid"/>
            <w:tcMar>
              <w:top w:type="dxa" w:w="120"/>
              <w:left w:type="dxa" w:w="120"/>
              <w:bottom w:type="dxa" w:w="120"/>
              <w:right w:type="dxa" w:w="120"/>
            </w:tcMar>
            <w:vAlign w:val="center"/>
          </w:tcPr>
          <w:p>
            <w:r>
              <w:rPr>
                <w:b/>
                <w:bCs/>
                <w:color w:val="102B33"/>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Sustainability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Develop sustainable procurement standards, assist with supplier ESG evaluations, and track supply-chain targets.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Suppliers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Comply with the Supplier Code of Conduct, provide requested disclosures, and participate in sustainability audits.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Approve sustainable procurement commitments, allocate resources, and review supply chain risk reports.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Adhere to responsible purchasing guidelines and support sustainable procurement practices.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footerReference w:type="default" r:id="rId8"/>
      <w:type w:val="nextPage"/>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5844d17dd9b987ae5a10de592b7f9f517be915.png"/><Relationship Id="rId10" Type="http://schemas.openxmlformats.org/officeDocument/2006/relationships/image" Target="media/66f6e5273c9d5ee833cf3ed1c31591841ef35a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2026-09-16T08:33:37.548Z</dcterms:created>
  <dcterms:modified xsi:type="dcterms:W3CDTF">2026-09-16T08:33:37.548Z</dcterms:modified>
</cp:coreProperties>
</file>

<file path=docProps/custom.xml><?xml version="1.0" encoding="utf-8"?>
<Properties xmlns="http://schemas.openxmlformats.org/officeDocument/2006/custom-properties" xmlns:vt="http://schemas.openxmlformats.org/officeDocument/2006/docPropsVTypes"/>
</file>