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eafmemgb1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 Question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a systematic multi-factor strategy produce stronger risk-adjusted performance than the NIFTY 50, and does that performance remain robust across different portfolio-construction methods and market periods?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v2lr1nkh2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is tested on 30 liquid large-cap Indian equities and combines five factors: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Momentum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Risk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factor is converted into a monthly percentile score, and the five scores are equally weighted at 20% each.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Top 10 stocks are selected every month.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portfolio-construction methods are compared: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Equal Weight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Factor-Score Weight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Sharpe-Optimized Weight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8pfbmq8d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Methodology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period: 2020–2024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Training: 2020–2022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Validation: 2023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Out-of-sample: 2024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rebalancing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NIFTY 50 benchmark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0.25% modeled transaction-cost assumption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Time-varying Indian short-term risk-free-rate proxy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90-day reporting lag for annual fundamentals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Adjusted prices used for returns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month-end prices used for P/E and Market Cap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t5gfdl0rk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Result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Factor-Score portfolio produced the strongest overall performance.</w:t>
      </w:r>
    </w:p>
    <w:tbl>
      <w:tblPr>
        <w:tblStyle w:val="Table1"/>
        <w:tblW w:w="4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1535"/>
        <w:gridCol w:w="1265"/>
        <w:tblGridChange w:id="0">
          <w:tblGrid>
            <w:gridCol w:w="1790"/>
            <w:gridCol w:w="1535"/>
            <w:gridCol w:w="12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NIFTY 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CAGR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25.03%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14.87%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Volatility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16.55%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18.91%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Sharpe Ratio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0.57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Max Drawdown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-14.67%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-23.25%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Factor-Score strategy also had lower turnover than the Sharpe-Optimized method.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4dib5w4o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Out-of-Sample Result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2024, the Factor-Score portfolio achieved approximately </w:t>
      </w:r>
      <w:r w:rsidDel="00000000" w:rsidR="00000000" w:rsidRPr="00000000">
        <w:rPr>
          <w:b w:val="1"/>
          <w:bCs w:val="1"/>
          <w:rtl w:val="0"/>
        </w:rPr>
        <w:t xml:space="preserve">15.49% CAGR</w:t>
      </w:r>
      <w:r w:rsidDel="00000000" w:rsidR="00000000" w:rsidRPr="00000000">
        <w:rPr>
          <w:rtl w:val="0"/>
        </w:rPr>
        <w:t xml:space="preserve">, compared with about </w:t>
      </w:r>
      <w:r w:rsidDel="00000000" w:rsidR="00000000" w:rsidRPr="00000000">
        <w:rPr>
          <w:b w:val="1"/>
          <w:bCs w:val="1"/>
          <w:rtl w:val="0"/>
        </w:rPr>
        <w:t xml:space="preserve">8.8%</w:t>
      </w:r>
      <w:r w:rsidDel="00000000" w:rsidR="00000000" w:rsidRPr="00000000">
        <w:rPr>
          <w:rtl w:val="0"/>
        </w:rPr>
        <w:t xml:space="preserve"> for the NIFTY 50.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suggests that the strategy continued to perform after the training and validation periods, although one year remains a relatively short out-of-sample test.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rbm6jpsxp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Robustness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was tested across: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 8, 10 and 12 holdings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transaction-cost assumptions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factor-weight combinations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year-by-year performance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remained reasonably strong across these variations.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Top 10 and equal 20% factor weights were retained to avoid choosing the best-performing specification after seeing the results.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l4uv8bjqv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Finding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suggests that a transparent multi-factor ranking system can produce stronger historical risk-adjusted performance than the NIFTY 50.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shows that more complex portfolio optimization is not automatically better: the Sharpe-Optimized portfolio had substantially higher turnover and weaker overall performance.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4fj2uimuh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limitations are: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survivorship bias from using a fixed 30-stock universe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90-day reporting lag as an approximation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rather than quarterly fundamentals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simplified transaction costs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detailed market-impact/slippage model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performance may not persist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