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left"/>
        <w:rPr>
          <w:b w:val="1"/>
          <w:bCs w:val="1"/>
        </w:rPr>
      </w:pPr>
      <w:bookmarkStart w:colFirst="0" w:colLast="0" w:name="_hkxtmqk3dmu" w:id="0"/>
      <w:bookmarkEnd w:id="0"/>
      <w:r w:rsidDel="00000000" w:rsidR="00000000" w:rsidRPr="00000000">
        <w:rPr>
          <w:rtl w:val="0"/>
        </w:rPr>
        <w:t xml:space="preserve">Enterprise Risk Analytics for Manulife–Mahindra Life Insurance Joint Venture in India</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Fonts w:ascii="Gungsuh" w:cs="Gungsuh" w:eastAsia="Gungsuh" w:hAnsi="Gungsuh"/>
          <w:rtl w:val="0"/>
        </w:rPr>
        <w:t xml:space="preserve">Jingting Zhan</w:t>
        <w:br w:type="textWrapping"/>
        <w:br w:type="textWrapping"/>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Fonts w:ascii="Gungsuh" w:cs="Gungsuh" w:eastAsia="Gungsuh" w:hAnsi="Gungsuh"/>
          <w:rtl w:val="0"/>
        </w:rPr>
        <w:t xml:space="preserve">Northeastern University</w:t>
      </w:r>
      <w:r w:rsidDel="00000000" w:rsidR="00000000" w:rsidRPr="00000000">
        <w:rPr>
          <w:rtl w:val="0"/>
        </w:rPr>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Fonts w:ascii="Gungsuh" w:cs="Gungsuh" w:eastAsia="Gungsuh" w:hAnsi="Gungsuh"/>
          <w:rtl w:val="0"/>
        </w:rPr>
        <w:t xml:space="preserve">ALY 6130</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Fonts w:ascii="Gungsuh" w:cs="Gungsuh" w:eastAsia="Gungsuh" w:hAnsi="Gungsuh"/>
          <w:rtl w:val="0"/>
        </w:rPr>
        <w:t xml:space="preserve">Professor</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Fonts w:ascii="Gungsuh" w:cs="Gungsuh" w:eastAsia="Gungsuh" w:hAnsi="Gungsuh"/>
          <w:rtl w:val="0"/>
        </w:rPr>
        <w:t xml:space="preserve">3/25/2026</w:t>
      </w:r>
      <w:r w:rsidDel="00000000" w:rsidR="00000000" w:rsidRPr="00000000">
        <w:rPr>
          <w:rtl w:val="0"/>
        </w:rPr>
      </w:r>
    </w:p>
    <w:p w:rsidR="00000000" w:rsidDel="00000000" w:rsidP="00000000" w:rsidRDefault="00000000" w:rsidRPr="00000000" w14:paraId="00000008">
      <w:pPr>
        <w:pStyle w:val="Heading1"/>
        <w:keepNext w:val="0"/>
        <w:keepLines w:val="0"/>
        <w:spacing w:after="120" w:before="480" w:lineRule="auto"/>
        <w:jc w:val="left"/>
        <w:rPr/>
      </w:pPr>
      <w:bookmarkStart w:colFirst="0" w:colLast="0" w:name="_kk2hmfz4u3xo" w:id="7"/>
      <w:bookmarkEnd w:id="7"/>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after="120" w:before="480" w:lineRule="auto"/>
        <w:jc w:val="left"/>
        <w:rPr/>
      </w:pPr>
      <w:bookmarkStart w:colFirst="0" w:colLast="0" w:name="_ui6kyhm03edk" w:id="8"/>
      <w:bookmarkEnd w:id="8"/>
      <w:r w:rsidDel="00000000" w:rsidR="00000000" w:rsidRPr="00000000">
        <w:rPr>
          <w:rtl w:val="0"/>
        </w:rPr>
      </w:r>
    </w:p>
    <w:p w:rsidR="00000000" w:rsidDel="00000000" w:rsidP="00000000" w:rsidRDefault="00000000" w:rsidRPr="00000000" w14:paraId="00000011">
      <w:pPr>
        <w:pStyle w:val="Heading1"/>
        <w:keepNext w:val="0"/>
        <w:keepLines w:val="0"/>
        <w:spacing w:after="120" w:before="480" w:lineRule="auto"/>
        <w:jc w:val="left"/>
        <w:rPr/>
      </w:pPr>
      <w:bookmarkStart w:colFirst="0" w:colLast="0" w:name="_6joesftgvwow" w:id="9"/>
      <w:bookmarkEnd w:id="9"/>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Manulife Financial Corporation, in partnership with Mahindra &amp; Mahindra, plans to establish a 50:50 life insurance joint venture (JV) in India. This expansion represents Manulife’s first entry into the Indian insurance market and aims to leverage Mahindra’s strong rural distribution network along with Manulife’s expertise in underwriting and artificial intelligence.</w:t>
      </w:r>
    </w:p>
    <w:p w:rsidR="00000000" w:rsidDel="00000000" w:rsidP="00000000" w:rsidRDefault="00000000" w:rsidRPr="00000000" w14:paraId="00000013">
      <w:pPr>
        <w:spacing w:after="240" w:before="240" w:lineRule="auto"/>
        <w:rPr/>
      </w:pPr>
      <w:r w:rsidDel="00000000" w:rsidR="00000000" w:rsidRPr="00000000">
        <w:rPr>
          <w:rtl w:val="0"/>
        </w:rPr>
        <w:t xml:space="preserve">India presents a highly attractive opportunity due to its low insurance penetration rate and large underserved rural population. The government’s “Insurance for All by 2047” initiative further supports long-term industry growth. However, entering this market also introduces multiple risks, including strong competition from established players, regulatory uncertainty, and technological challenges.</w:t>
      </w:r>
    </w:p>
    <w:p w:rsidR="00000000" w:rsidDel="00000000" w:rsidP="00000000" w:rsidRDefault="00000000" w:rsidRPr="00000000" w14:paraId="00000014">
      <w:pPr>
        <w:spacing w:after="240" w:before="240" w:lineRule="auto"/>
        <w:rPr/>
      </w:pPr>
      <w:r w:rsidDel="00000000" w:rsidR="00000000" w:rsidRPr="00000000">
        <w:rPr>
          <w:rtl w:val="0"/>
        </w:rPr>
        <w:t xml:space="preserve">Based on previous SWOT analysis, the JV benefits from strong internal capabilities such as an existing partnership and advanced AI infrastructure, but also faces external threats including market dominance by LIC and regulatory complexity.</w:t>
      </w:r>
    </w:p>
    <w:p w:rsidR="00000000" w:rsidDel="00000000" w:rsidP="00000000" w:rsidRDefault="00000000" w:rsidRPr="00000000" w14:paraId="00000015">
      <w:pPr>
        <w:spacing w:after="240" w:before="240" w:lineRule="auto"/>
        <w:rPr/>
      </w:pPr>
      <w:r w:rsidDel="00000000" w:rsidR="00000000" w:rsidRPr="00000000">
        <w:rPr>
          <w:rtl w:val="0"/>
        </w:rPr>
        <w:t xml:space="preserve">Therefore, a structured enterprise risk management (ERM) approach is required to evaluate and manage these risks using both qualitative and quantitative methods.</w:t>
      </w:r>
    </w:p>
    <w:p w:rsidR="00000000" w:rsidDel="00000000" w:rsidP="00000000" w:rsidRDefault="00000000" w:rsidRPr="00000000" w14:paraId="00000016">
      <w:pPr>
        <w:pStyle w:val="Heading1"/>
        <w:keepNext w:val="0"/>
        <w:keepLines w:val="0"/>
        <w:spacing w:after="120" w:before="480" w:lineRule="auto"/>
        <w:jc w:val="left"/>
        <w:rPr/>
      </w:pPr>
      <w:bookmarkStart w:colFirst="0" w:colLast="0" w:name="_4urguttqdbl" w:id="10"/>
      <w:bookmarkEnd w:id="10"/>
      <w:r w:rsidDel="00000000" w:rsidR="00000000" w:rsidRPr="00000000">
        <w:rPr>
          <w:rtl w:val="0"/>
        </w:rPr>
      </w:r>
    </w:p>
    <w:p w:rsidR="00000000" w:rsidDel="00000000" w:rsidP="00000000" w:rsidRDefault="00000000" w:rsidRPr="00000000" w14:paraId="00000017">
      <w:pPr>
        <w:pStyle w:val="Heading1"/>
        <w:keepNext w:val="0"/>
        <w:keepLines w:val="0"/>
        <w:spacing w:after="120" w:before="480" w:lineRule="auto"/>
        <w:jc w:val="left"/>
        <w:rPr/>
      </w:pPr>
      <w:bookmarkStart w:colFirst="0" w:colLast="0" w:name="_ko8fueu2nnzf" w:id="11"/>
      <w:bookmarkEnd w:id="11"/>
      <w:r w:rsidDel="00000000" w:rsidR="00000000" w:rsidRPr="00000000">
        <w:rPr>
          <w:rtl w:val="0"/>
        </w:rPr>
      </w:r>
    </w:p>
    <w:p w:rsidR="00000000" w:rsidDel="00000000" w:rsidP="00000000" w:rsidRDefault="00000000" w:rsidRPr="00000000" w14:paraId="00000018">
      <w:pPr>
        <w:pStyle w:val="Heading1"/>
        <w:keepNext w:val="0"/>
        <w:keepLines w:val="0"/>
        <w:spacing w:after="120" w:before="480" w:lineRule="auto"/>
        <w:jc w:val="left"/>
        <w:rPr/>
      </w:pPr>
      <w:bookmarkStart w:colFirst="0" w:colLast="0" w:name="_rnwj0gc3tcsm" w:id="12"/>
      <w:bookmarkEnd w:id="12"/>
      <w:r w:rsidDel="00000000" w:rsidR="00000000" w:rsidRPr="00000000">
        <w:rPr>
          <w:rtl w:val="0"/>
        </w:rPr>
        <w:t xml:space="preserve"> Identification of Risks</w:t>
      </w:r>
    </w:p>
    <w:p w:rsidR="00000000" w:rsidDel="00000000" w:rsidP="00000000" w:rsidRDefault="00000000" w:rsidRPr="00000000" w14:paraId="00000019">
      <w:pPr>
        <w:spacing w:after="240" w:before="240" w:lineRule="auto"/>
        <w:rPr/>
      </w:pPr>
      <w:r w:rsidDel="00000000" w:rsidR="00000000" w:rsidRPr="00000000">
        <w:rPr>
          <w:rtl w:val="0"/>
        </w:rPr>
        <w:t xml:space="preserve">A comprehensive risk register containing 32 risks was developed based on internal and external analysis. These risks were categorized into financial, operational, technological, and regulatory risks.</w:t>
      </w:r>
    </w:p>
    <w:p w:rsidR="00000000" w:rsidDel="00000000" w:rsidP="00000000" w:rsidRDefault="00000000" w:rsidRPr="00000000" w14:paraId="0000001A">
      <w:pPr>
        <w:spacing w:after="240" w:before="240" w:lineRule="auto"/>
        <w:rPr/>
      </w:pPr>
      <w:r w:rsidDel="00000000" w:rsidR="00000000" w:rsidRPr="00000000">
        <w:rPr>
          <w:rtl w:val="0"/>
        </w:rPr>
        <w:t xml:space="preserve">From this register, three high-priority risks were selected based on their high likelihood and impact scores (Risk Score = 56):</w:t>
      </w:r>
    </w:p>
    <w:p w:rsidR="00000000" w:rsidDel="00000000" w:rsidP="00000000" w:rsidRDefault="00000000" w:rsidRPr="00000000" w14:paraId="0000001B">
      <w:pPr>
        <w:numPr>
          <w:ilvl w:val="0"/>
          <w:numId w:val="2"/>
        </w:numPr>
        <w:spacing w:after="0" w:afterAutospacing="0" w:before="240" w:lineRule="auto"/>
        <w:ind w:left="720" w:hanging="360"/>
        <w:rPr/>
      </w:pPr>
      <w:r w:rsidDel="00000000" w:rsidR="00000000" w:rsidRPr="00000000">
        <w:rPr>
          <w:b w:val="1"/>
          <w:bCs w:val="1"/>
          <w:rtl w:val="0"/>
        </w:rPr>
        <w:t xml:space="preserve">R1: LIC &amp; Private Competitor Displacement</w:t>
      </w:r>
    </w:p>
    <w:p w:rsidR="00000000" w:rsidDel="00000000" w:rsidP="00000000" w:rsidRDefault="00000000" w:rsidRPr="00000000" w14:paraId="0000001C">
      <w:pPr>
        <w:numPr>
          <w:ilvl w:val="0"/>
          <w:numId w:val="2"/>
        </w:numPr>
        <w:spacing w:after="0" w:afterAutospacing="0" w:before="0" w:beforeAutospacing="0" w:lineRule="auto"/>
        <w:ind w:left="720" w:hanging="360"/>
        <w:rPr/>
      </w:pPr>
      <w:r w:rsidDel="00000000" w:rsidR="00000000" w:rsidRPr="00000000">
        <w:rPr>
          <w:b w:val="1"/>
          <w:bCs w:val="1"/>
          <w:rtl w:val="0"/>
        </w:rPr>
        <w:t xml:space="preserve">R9: IRDAI Regulatory Approval Delay</w:t>
      </w:r>
    </w:p>
    <w:p w:rsidR="00000000" w:rsidDel="00000000" w:rsidP="00000000" w:rsidRDefault="00000000" w:rsidRPr="00000000" w14:paraId="0000001D">
      <w:pPr>
        <w:numPr>
          <w:ilvl w:val="0"/>
          <w:numId w:val="2"/>
        </w:numPr>
        <w:spacing w:after="240" w:before="0" w:beforeAutospacing="0" w:lineRule="auto"/>
        <w:ind w:left="720" w:hanging="360"/>
        <w:rPr/>
      </w:pPr>
      <w:r w:rsidDel="00000000" w:rsidR="00000000" w:rsidRPr="00000000">
        <w:rPr>
          <w:b w:val="1"/>
          <w:bCs w:val="1"/>
          <w:rtl w:val="0"/>
        </w:rPr>
        <w:t xml:space="preserve">R15: AI Underwriting Bias in Rural Demographics</w:t>
      </w:r>
    </w:p>
    <w:p w:rsidR="00000000" w:rsidDel="00000000" w:rsidP="00000000" w:rsidRDefault="00000000" w:rsidRPr="00000000" w14:paraId="0000001E">
      <w:pPr>
        <w:spacing w:after="240" w:before="240" w:lineRule="auto"/>
        <w:rPr/>
      </w:pPr>
      <w:r w:rsidDel="00000000" w:rsidR="00000000" w:rsidRPr="00000000">
        <w:rPr>
          <w:rtl w:val="0"/>
        </w:rPr>
        <w:t xml:space="preserve">These risks were selected because they directly affect the JV’s ability to enter the market, operate effectively, and achieve long-term growth objectives.</w:t>
      </w:r>
    </w:p>
    <w:p w:rsidR="00000000" w:rsidDel="00000000" w:rsidP="00000000" w:rsidRDefault="00000000" w:rsidRPr="00000000" w14:paraId="0000001F">
      <w:pPr>
        <w:pStyle w:val="Heading1"/>
        <w:keepNext w:val="0"/>
        <w:keepLines w:val="0"/>
        <w:spacing w:after="120" w:before="480" w:lineRule="auto"/>
        <w:jc w:val="left"/>
        <w:rPr/>
      </w:pPr>
      <w:bookmarkStart w:colFirst="0" w:colLast="0" w:name="_v4zhzpylvrxp" w:id="13"/>
      <w:bookmarkEnd w:id="13"/>
      <w:r w:rsidDel="00000000" w:rsidR="00000000" w:rsidRPr="00000000">
        <w:rPr>
          <w:rtl w:val="0"/>
        </w:rPr>
        <w:t xml:space="preserve">3. Qualitative Risk Assessment</w:t>
      </w:r>
    </w:p>
    <w:p w:rsidR="00000000" w:rsidDel="00000000" w:rsidP="00000000" w:rsidRDefault="00000000" w:rsidRPr="00000000" w14:paraId="00000020">
      <w:pPr>
        <w:spacing w:after="240" w:before="240" w:lineRule="auto"/>
        <w:rPr/>
      </w:pPr>
      <w:r w:rsidDel="00000000" w:rsidR="00000000" w:rsidRPr="00000000">
        <w:rPr>
          <w:rtl w:val="0"/>
        </w:rPr>
        <w:t xml:space="preserve">The selected risks were first analyzed using qualitative methods, including SWOT analysis and the Indicators &amp; Warning (I&amp;W) framework.</w:t>
      </w:r>
    </w:p>
    <w:p w:rsidR="00000000" w:rsidDel="00000000" w:rsidP="00000000" w:rsidRDefault="00000000" w:rsidRPr="00000000" w14:paraId="00000021">
      <w:pPr>
        <w:spacing w:after="240" w:before="240" w:lineRule="auto"/>
        <w:rPr/>
      </w:pPr>
      <w:r w:rsidDel="00000000" w:rsidR="00000000" w:rsidRPr="00000000">
        <w:rPr>
          <w:rtl w:val="0"/>
        </w:rPr>
        <w:t xml:space="preserve">The I&amp;W method identifies observable indicators that signal whether a risk is materializing. Each indicator is assigned a threshold, and risk levels are classified as Green, Amber, or Red based on current values.</w:t>
      </w:r>
    </w:p>
    <w:p w:rsidR="00000000" w:rsidDel="00000000" w:rsidP="00000000" w:rsidRDefault="00000000" w:rsidRPr="00000000" w14:paraId="00000022">
      <w:pPr>
        <w:spacing w:after="240" w:before="240" w:lineRule="auto"/>
        <w:rPr/>
      </w:pPr>
      <w:r w:rsidDel="00000000" w:rsidR="00000000" w:rsidRPr="00000000">
        <w:rPr>
          <w:rtl w:val="0"/>
        </w:rPr>
        <w:t xml:space="preserve">For example, in R1 (Competitor Displacement), key indicators include market share, agent recruitment rate, and customer acquisition cost. Several indicators are already in the Red or Amber zone, indicating strong competitive pressure.</w:t>
      </w:r>
    </w:p>
    <w:p w:rsidR="00000000" w:rsidDel="00000000" w:rsidP="00000000" w:rsidRDefault="00000000" w:rsidRPr="00000000" w14:paraId="00000023">
      <w:pPr>
        <w:spacing w:after="240" w:before="240" w:lineRule="auto"/>
        <w:rPr/>
      </w:pPr>
      <w:r w:rsidDel="00000000" w:rsidR="00000000" w:rsidRPr="00000000">
        <w:rPr>
          <w:rtl w:val="0"/>
        </w:rPr>
        <w:t xml:space="preserve">Similarly, R9 (Regulatory Delay) includes indicators such as approval timeline and regulatory engagement, while R15 (AI Bias) focuses on fairness metrics and data representation.</w:t>
      </w:r>
    </w:p>
    <w:p w:rsidR="00000000" w:rsidDel="00000000" w:rsidP="00000000" w:rsidRDefault="00000000" w:rsidRPr="00000000" w14:paraId="00000024">
      <w:pPr>
        <w:spacing w:after="240" w:before="240" w:lineRule="auto"/>
        <w:rPr/>
      </w:pPr>
      <w:r w:rsidDel="00000000" w:rsidR="00000000" w:rsidRPr="00000000">
        <w:rPr>
          <w:rtl w:val="0"/>
        </w:rPr>
        <w:t xml:space="preserve">This qualitative analysis provides important context by linking risks to real business conditions, including market competition, regulatory requirements, and technology limitations.</w:t>
      </w:r>
    </w:p>
    <w:p w:rsidR="00000000" w:rsidDel="00000000" w:rsidP="00000000" w:rsidRDefault="00000000" w:rsidRPr="00000000" w14:paraId="00000025">
      <w:pPr>
        <w:pStyle w:val="Heading1"/>
        <w:keepNext w:val="0"/>
        <w:keepLines w:val="0"/>
        <w:spacing w:after="120" w:before="480" w:lineRule="auto"/>
        <w:jc w:val="left"/>
        <w:rPr/>
      </w:pPr>
      <w:bookmarkStart w:colFirst="0" w:colLast="0" w:name="_iuz1bjxmz8aa" w:id="14"/>
      <w:bookmarkEnd w:id="14"/>
      <w:r w:rsidDel="00000000" w:rsidR="00000000" w:rsidRPr="00000000">
        <w:rPr>
          <w:rtl w:val="0"/>
        </w:rPr>
        <w:t xml:space="preserve">4. Quantitative Risk Assessment</w:t>
      </w:r>
    </w:p>
    <w:p w:rsidR="00000000" w:rsidDel="00000000" w:rsidP="00000000" w:rsidRDefault="00000000" w:rsidRPr="00000000" w14:paraId="00000026">
      <w:pPr>
        <w:pStyle w:val="Heading2"/>
        <w:keepNext w:val="0"/>
        <w:keepLines w:val="0"/>
        <w:spacing w:after="80" w:before="360" w:lineRule="auto"/>
        <w:rPr/>
      </w:pPr>
      <w:bookmarkStart w:colFirst="0" w:colLast="0" w:name="_w2p5jwp0r7tj" w:id="15"/>
      <w:bookmarkEnd w:id="15"/>
      <w:r w:rsidDel="00000000" w:rsidR="00000000" w:rsidRPr="00000000">
        <w:rPr>
          <w:rtl w:val="0"/>
        </w:rPr>
        <w:t xml:space="preserve">4.1 Statistical Modeling</w:t>
      </w:r>
    </w:p>
    <w:p w:rsidR="00000000" w:rsidDel="00000000" w:rsidP="00000000" w:rsidRDefault="00000000" w:rsidRPr="00000000" w14:paraId="00000027">
      <w:pPr>
        <w:spacing w:after="240" w:before="240" w:lineRule="auto"/>
        <w:rPr/>
      </w:pPr>
      <w:r w:rsidDel="00000000" w:rsidR="00000000" w:rsidRPr="00000000">
        <w:rPr>
          <w:rtl w:val="0"/>
        </w:rPr>
        <w:t xml:space="preserve">Each risk was modeled using probability distributions based on industry data and assumptions:</w:t>
      </w:r>
    </w:p>
    <w:p w:rsidR="00000000" w:rsidDel="00000000" w:rsidP="00000000" w:rsidRDefault="00000000" w:rsidRPr="00000000" w14:paraId="00000028">
      <w:pPr>
        <w:numPr>
          <w:ilvl w:val="0"/>
          <w:numId w:val="1"/>
        </w:numPr>
        <w:spacing w:after="0" w:afterAutospacing="0" w:before="240" w:lineRule="auto"/>
        <w:ind w:left="720" w:hanging="360"/>
        <w:rPr/>
      </w:pPr>
      <w:r w:rsidDel="00000000" w:rsidR="00000000" w:rsidRPr="00000000">
        <w:rPr>
          <w:rtl w:val="0"/>
        </w:rPr>
        <w:t xml:space="preserve">Competitor growth and pricing factors: Normal distribution</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Regulatory approval timeline: Log-normal distribution</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AI fairness metrics: Beta distribution</w:t>
      </w:r>
    </w:p>
    <w:p w:rsidR="00000000" w:rsidDel="00000000" w:rsidP="00000000" w:rsidRDefault="00000000" w:rsidRPr="00000000" w14:paraId="0000002B">
      <w:pPr>
        <w:spacing w:after="240" w:before="240" w:lineRule="auto"/>
        <w:rPr/>
      </w:pPr>
      <w:r w:rsidDel="00000000" w:rsidR="00000000" w:rsidRPr="00000000">
        <w:rPr>
          <w:rtl w:val="0"/>
        </w:rPr>
        <w:t xml:space="preserve">These distributions allow estimation of expected loss, variance, and overall risk exposure.</w:t>
      </w:r>
    </w:p>
    <w:p w:rsidR="00000000" w:rsidDel="00000000" w:rsidP="00000000" w:rsidRDefault="00000000" w:rsidRPr="00000000" w14:paraId="0000002C">
      <w:pPr>
        <w:pStyle w:val="Heading2"/>
        <w:keepNext w:val="0"/>
        <w:keepLines w:val="0"/>
        <w:spacing w:after="80" w:before="360" w:lineRule="auto"/>
        <w:rPr/>
      </w:pPr>
      <w:bookmarkStart w:colFirst="0" w:colLast="0" w:name="_692l3hk0tpac" w:id="16"/>
      <w:bookmarkEnd w:id="16"/>
      <w:r w:rsidDel="00000000" w:rsidR="00000000" w:rsidRPr="00000000">
        <w:rPr>
          <w:rtl w:val="0"/>
        </w:rPr>
        <w:t xml:space="preserve">4.2 Machine Learning Model</w:t>
      </w:r>
    </w:p>
    <w:p w:rsidR="00000000" w:rsidDel="00000000" w:rsidP="00000000" w:rsidRDefault="00000000" w:rsidRPr="00000000" w14:paraId="0000002D">
      <w:pPr>
        <w:spacing w:after="240" w:before="240" w:lineRule="auto"/>
        <w:rPr/>
      </w:pPr>
      <w:r w:rsidDel="00000000" w:rsidR="00000000" w:rsidRPr="00000000">
        <w:rPr>
          <w:rtl w:val="0"/>
        </w:rPr>
        <w:t xml:space="preserve">A Random Forest classifier was used to evaluate risk severity based on selected indicators. The model incorporated multiple features such as market performance, regulatory signals, and AI metrics.</w:t>
      </w:r>
    </w:p>
    <w:p w:rsidR="00000000" w:rsidDel="00000000" w:rsidP="00000000" w:rsidRDefault="00000000" w:rsidRPr="00000000" w14:paraId="0000002E">
      <w:pPr>
        <w:spacing w:after="240" w:before="240" w:lineRule="auto"/>
        <w:rPr/>
      </w:pPr>
      <w:r w:rsidDel="00000000" w:rsidR="00000000" w:rsidRPr="00000000">
        <w:rPr>
          <w:rtl w:val="0"/>
        </w:rPr>
        <w:t xml:space="preserve">The model achieved high cross-validated accuracy and classified all three risks as medium severity. However, further analysis showed that risks with the same severity level can have very different probability and financial impact.</w:t>
      </w:r>
    </w:p>
    <w:p w:rsidR="00000000" w:rsidDel="00000000" w:rsidP="00000000" w:rsidRDefault="00000000" w:rsidRPr="00000000" w14:paraId="0000002F">
      <w:pPr>
        <w:spacing w:after="240" w:before="240" w:lineRule="auto"/>
        <w:rPr/>
      </w:pPr>
      <w:r w:rsidDel="00000000" w:rsidR="00000000" w:rsidRPr="00000000">
        <w:rPr>
          <w:rtl w:val="0"/>
        </w:rPr>
        <w:t xml:space="preserve">This demonstrates that machine learning models should be used together with other analytical methods to support decision-making.</w:t>
      </w:r>
    </w:p>
    <w:p w:rsidR="00000000" w:rsidDel="00000000" w:rsidP="00000000" w:rsidRDefault="00000000" w:rsidRPr="00000000" w14:paraId="00000030">
      <w:pPr>
        <w:pStyle w:val="Heading2"/>
        <w:keepNext w:val="0"/>
        <w:keepLines w:val="0"/>
        <w:spacing w:after="80" w:before="360" w:lineRule="auto"/>
        <w:rPr/>
      </w:pPr>
      <w:bookmarkStart w:colFirst="0" w:colLast="0" w:name="_ybw82d5crkp2" w:id="17"/>
      <w:bookmarkEnd w:id="17"/>
      <w:r w:rsidDel="00000000" w:rsidR="00000000" w:rsidRPr="00000000">
        <w:rPr>
          <w:rtl w:val="0"/>
        </w:rPr>
        <w:t xml:space="preserve">4.3 Monte Carlo Simulation</w:t>
      </w:r>
    </w:p>
    <w:p w:rsidR="00000000" w:rsidDel="00000000" w:rsidP="00000000" w:rsidRDefault="00000000" w:rsidRPr="00000000" w14:paraId="00000031">
      <w:pPr>
        <w:spacing w:after="240" w:before="240" w:lineRule="auto"/>
        <w:rPr/>
      </w:pPr>
      <w:r w:rsidDel="00000000" w:rsidR="00000000" w:rsidRPr="00000000">
        <w:rPr>
          <w:rtl w:val="0"/>
        </w:rPr>
        <w:t xml:space="preserve">Monte Carlo simulation (10,000 iterations) was applied to model uncertainty and variability in risk outcomes.</w:t>
      </w:r>
    </w:p>
    <w:p w:rsidR="00000000" w:rsidDel="00000000" w:rsidP="00000000" w:rsidRDefault="00000000" w:rsidRPr="00000000" w14:paraId="00000032">
      <w:pPr>
        <w:pStyle w:val="Heading3"/>
        <w:keepNext w:val="0"/>
        <w:keepLines w:val="0"/>
        <w:spacing w:after="80" w:before="280" w:lineRule="auto"/>
        <w:rPr>
          <w:i w:val="0"/>
          <w:iCs w:val="0"/>
        </w:rPr>
      </w:pPr>
      <w:bookmarkStart w:colFirst="0" w:colLast="0" w:name="_yid02upkglbj" w:id="18"/>
      <w:bookmarkEnd w:id="18"/>
      <w:r w:rsidDel="00000000" w:rsidR="00000000" w:rsidRPr="00000000">
        <w:rPr>
          <w:i w:val="0"/>
          <w:iCs w:val="0"/>
          <w:rtl w:val="0"/>
        </w:rPr>
        <w:t xml:space="preserve">Key Results:</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b w:val="1"/>
          <w:bCs w:val="1"/>
          <w:rtl w:val="0"/>
        </w:rPr>
        <w:t xml:space="preserve">R1 (Competitor Displacement):</w:t>
        <w:br w:type="textWrapping"/>
      </w:r>
      <w:r w:rsidDel="00000000" w:rsidR="00000000" w:rsidRPr="00000000">
        <w:rPr>
          <w:rtl w:val="0"/>
        </w:rPr>
        <w:t xml:space="preserve"> 84.1% probability of failing to meet market share target</w:t>
        <w:br w:type="textWrapping"/>
        <w:t xml:space="preserve"> Mean exposure: $6.6M</w:t>
        <w:br w:type="textWrapping"/>
        <w:t xml:space="preserve"> P90 exposure: $14.1M</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b w:val="1"/>
          <w:bCs w:val="1"/>
          <w:rtl w:val="0"/>
        </w:rPr>
        <w:t xml:space="preserve">R9 (Regulatory Delay):</w:t>
        <w:br w:type="textWrapping"/>
      </w:r>
      <w:r w:rsidDel="00000000" w:rsidR="00000000" w:rsidRPr="00000000">
        <w:rPr>
          <w:rtl w:val="0"/>
        </w:rPr>
        <w:t xml:space="preserve"> 17.8% probability of delay beyond 18 months</w:t>
        <w:br w:type="textWrapping"/>
        <w:t xml:space="preserve"> Mean exposure: $41.2M</w:t>
        <w:br w:type="textWrapping"/>
        <w:t xml:space="preserve"> P90 exposure: $57.5M</w:t>
      </w:r>
    </w:p>
    <w:p w:rsidR="00000000" w:rsidDel="00000000" w:rsidP="00000000" w:rsidRDefault="00000000" w:rsidRPr="00000000" w14:paraId="00000035">
      <w:pPr>
        <w:numPr>
          <w:ilvl w:val="0"/>
          <w:numId w:val="4"/>
        </w:numPr>
        <w:spacing w:after="240" w:before="0" w:beforeAutospacing="0" w:lineRule="auto"/>
        <w:ind w:left="720" w:hanging="360"/>
        <w:rPr/>
      </w:pPr>
      <w:r w:rsidDel="00000000" w:rsidR="00000000" w:rsidRPr="00000000">
        <w:rPr>
          <w:b w:val="1"/>
          <w:bCs w:val="1"/>
          <w:rtl w:val="0"/>
        </w:rPr>
        <w:t xml:space="preserve">R15 (AI Bias):</w:t>
        <w:br w:type="textWrapping"/>
      </w:r>
      <w:r w:rsidDel="00000000" w:rsidR="00000000" w:rsidRPr="00000000">
        <w:rPr>
          <w:rtl w:val="0"/>
        </w:rPr>
        <w:t xml:space="preserve"> 57.9% probability of fairness threshold breach</w:t>
        <w:br w:type="textWrapping"/>
        <w:t xml:space="preserve"> Mean exposure: $11.0M</w:t>
        <w:br w:type="textWrapping"/>
        <w:t xml:space="preserve"> P90 exposure: $23.2M</w:t>
      </w:r>
    </w:p>
    <w:p w:rsidR="00000000" w:rsidDel="00000000" w:rsidP="00000000" w:rsidRDefault="00000000" w:rsidRPr="00000000" w14:paraId="00000036">
      <w:pPr>
        <w:spacing w:after="240" w:before="240" w:lineRule="auto"/>
        <w:rPr/>
      </w:pPr>
      <w:r w:rsidDel="00000000" w:rsidR="00000000" w:rsidRPr="00000000">
        <w:rPr>
          <w:rtl w:val="0"/>
        </w:rPr>
        <w:t xml:space="preserve">These results highlight that R1 is the most likely risk, while R9 has the highest financial impact.</w:t>
      </w:r>
    </w:p>
    <w:p w:rsidR="00000000" w:rsidDel="00000000" w:rsidP="00000000" w:rsidRDefault="00000000" w:rsidRPr="00000000" w14:paraId="00000037">
      <w:pPr>
        <w:pStyle w:val="Heading2"/>
        <w:keepNext w:val="0"/>
        <w:keepLines w:val="0"/>
        <w:spacing w:after="80" w:before="360" w:lineRule="auto"/>
        <w:rPr/>
      </w:pPr>
      <w:bookmarkStart w:colFirst="0" w:colLast="0" w:name="_fsm6kup5xbeh" w:id="19"/>
      <w:bookmarkEnd w:id="19"/>
      <w:r w:rsidDel="00000000" w:rsidR="00000000" w:rsidRPr="00000000">
        <w:rPr>
          <w:rtl w:val="0"/>
        </w:rPr>
        <w:t xml:space="preserve">4.4 Integrated Situation Assessment</w:t>
      </w:r>
    </w:p>
    <w:p w:rsidR="00000000" w:rsidDel="00000000" w:rsidP="00000000" w:rsidRDefault="00000000" w:rsidRPr="00000000" w14:paraId="00000038">
      <w:pPr>
        <w:spacing w:after="240" w:before="240" w:lineRule="auto"/>
        <w:rPr/>
      </w:pPr>
      <w:r w:rsidDel="00000000" w:rsidR="00000000" w:rsidRPr="00000000">
        <w:rPr>
          <w:rtl w:val="0"/>
        </w:rPr>
        <w:t xml:space="preserve">The quantitative models incorporate both business and non-business factors:</w:t>
      </w:r>
    </w:p>
    <w:p w:rsidR="00000000" w:rsidDel="00000000" w:rsidP="00000000" w:rsidRDefault="00000000" w:rsidRPr="00000000" w14:paraId="00000039">
      <w:pPr>
        <w:numPr>
          <w:ilvl w:val="0"/>
          <w:numId w:val="3"/>
        </w:numPr>
        <w:spacing w:after="0" w:afterAutospacing="0" w:before="240" w:lineRule="auto"/>
        <w:ind w:left="720" w:hanging="360"/>
        <w:rPr/>
      </w:pPr>
      <w:r w:rsidDel="00000000" w:rsidR="00000000" w:rsidRPr="00000000">
        <w:rPr>
          <w:b w:val="1"/>
          <w:bCs w:val="1"/>
          <w:rtl w:val="0"/>
        </w:rPr>
        <w:t xml:space="preserve">Business environment:</w:t>
      </w:r>
      <w:r w:rsidDel="00000000" w:rsidR="00000000" w:rsidRPr="00000000">
        <w:rPr>
          <w:rtl w:val="0"/>
        </w:rPr>
        <w:t xml:space="preserve"> competition, pricing strategy, distribution network</w:t>
      </w:r>
    </w:p>
    <w:p w:rsidR="00000000" w:rsidDel="00000000" w:rsidP="00000000" w:rsidRDefault="00000000" w:rsidRPr="00000000" w14:paraId="0000003A">
      <w:pPr>
        <w:numPr>
          <w:ilvl w:val="0"/>
          <w:numId w:val="3"/>
        </w:numPr>
        <w:spacing w:after="240" w:before="0" w:beforeAutospacing="0" w:lineRule="auto"/>
        <w:ind w:left="720" w:hanging="360"/>
        <w:rPr/>
      </w:pPr>
      <w:r w:rsidDel="00000000" w:rsidR="00000000" w:rsidRPr="00000000">
        <w:rPr>
          <w:b w:val="1"/>
          <w:bCs w:val="1"/>
          <w:rtl w:val="0"/>
        </w:rPr>
        <w:t xml:space="preserve">Non-business environment:</w:t>
      </w:r>
      <w:r w:rsidDel="00000000" w:rsidR="00000000" w:rsidRPr="00000000">
        <w:rPr>
          <w:rtl w:val="0"/>
        </w:rPr>
        <w:t xml:space="preserve"> regulatory policies, technological limitations, ethical considerations</w:t>
      </w:r>
    </w:p>
    <w:p w:rsidR="00000000" w:rsidDel="00000000" w:rsidP="00000000" w:rsidRDefault="00000000" w:rsidRPr="00000000" w14:paraId="0000003B">
      <w:pPr>
        <w:spacing w:after="240" w:before="240" w:lineRule="auto"/>
        <w:rPr/>
      </w:pPr>
      <w:r w:rsidDel="00000000" w:rsidR="00000000" w:rsidRPr="00000000">
        <w:rPr>
          <w:rtl w:val="0"/>
        </w:rPr>
        <w:t xml:space="preserve">For example, strong competition increases the probability of R1, while regulatory uncertainty affects R9. AI-related risks are influenced by data quality and fairness requirements.</w:t>
      </w:r>
    </w:p>
    <w:p w:rsidR="00000000" w:rsidDel="00000000" w:rsidP="00000000" w:rsidRDefault="00000000" w:rsidRPr="00000000" w14:paraId="0000003C">
      <w:pPr>
        <w:spacing w:after="240" w:before="240" w:lineRule="auto"/>
        <w:rPr/>
      </w:pPr>
      <w:r w:rsidDel="00000000" w:rsidR="00000000" w:rsidRPr="00000000">
        <w:rPr>
          <w:rtl w:val="0"/>
        </w:rPr>
        <w:t xml:space="preserve">This integration improves model accuracy and ensures that results reflect real-world conditions.</w:t>
      </w:r>
    </w:p>
    <w:p w:rsidR="00000000" w:rsidDel="00000000" w:rsidP="00000000" w:rsidRDefault="00000000" w:rsidRPr="00000000" w14:paraId="0000003D">
      <w:pPr>
        <w:pStyle w:val="Heading1"/>
        <w:keepNext w:val="0"/>
        <w:keepLines w:val="0"/>
        <w:spacing w:after="120" w:before="480" w:lineRule="auto"/>
        <w:jc w:val="left"/>
        <w:rPr/>
      </w:pPr>
      <w:bookmarkStart w:colFirst="0" w:colLast="0" w:name="_ead4362d4ex5" w:id="20"/>
      <w:bookmarkEnd w:id="20"/>
      <w:r w:rsidDel="00000000" w:rsidR="00000000" w:rsidRPr="00000000">
        <w:rPr>
          <w:rtl w:val="0"/>
        </w:rPr>
        <w:t xml:space="preserve">5. Risk Response Strategy</w:t>
      </w:r>
    </w:p>
    <w:p w:rsidR="00000000" w:rsidDel="00000000" w:rsidP="00000000" w:rsidRDefault="00000000" w:rsidRPr="00000000" w14:paraId="0000003E">
      <w:pPr>
        <w:spacing w:after="240" w:before="240" w:lineRule="auto"/>
        <w:rPr/>
      </w:pPr>
      <w:r w:rsidDel="00000000" w:rsidR="00000000" w:rsidRPr="00000000">
        <w:rPr>
          <w:rtl w:val="0"/>
        </w:rPr>
        <w:t xml:space="preserve">Each risk requires a tailored response strategy:</w:t>
      </w:r>
    </w:p>
    <w:p w:rsidR="00000000" w:rsidDel="00000000" w:rsidP="00000000" w:rsidRDefault="00000000" w:rsidRPr="00000000" w14:paraId="0000003F">
      <w:pPr>
        <w:numPr>
          <w:ilvl w:val="0"/>
          <w:numId w:val="5"/>
        </w:numPr>
        <w:spacing w:after="0" w:afterAutospacing="0" w:before="240" w:lineRule="auto"/>
        <w:ind w:left="720" w:hanging="360"/>
        <w:rPr/>
      </w:pPr>
      <w:r w:rsidDel="00000000" w:rsidR="00000000" w:rsidRPr="00000000">
        <w:rPr>
          <w:b w:val="1"/>
          <w:bCs w:val="1"/>
          <w:rtl w:val="0"/>
        </w:rPr>
        <w:t xml:space="preserve">R1 (Competitor Displacement):</w:t>
        <w:br w:type="textWrapping"/>
      </w:r>
      <w:r w:rsidDel="00000000" w:rsidR="00000000" w:rsidRPr="00000000">
        <w:rPr>
          <w:rtl w:val="0"/>
        </w:rPr>
        <w:t xml:space="preserve"> Increase agent recruitment, optimize pricing strategy, and focus on rural market differentiation</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b w:val="1"/>
          <w:bCs w:val="1"/>
          <w:rtl w:val="0"/>
        </w:rPr>
        <w:t xml:space="preserve">R9 (Regulatory Delay):</w:t>
        <w:br w:type="textWrapping"/>
      </w:r>
      <w:r w:rsidDel="00000000" w:rsidR="00000000" w:rsidRPr="00000000">
        <w:rPr>
          <w:rtl w:val="0"/>
        </w:rPr>
        <w:t xml:space="preserve"> Maintain continuous regulatory engagement, ensure compliance readiness, and allocate contingency funds</w:t>
      </w:r>
    </w:p>
    <w:p w:rsidR="00000000" w:rsidDel="00000000" w:rsidP="00000000" w:rsidRDefault="00000000" w:rsidRPr="00000000" w14:paraId="00000041">
      <w:pPr>
        <w:numPr>
          <w:ilvl w:val="0"/>
          <w:numId w:val="5"/>
        </w:numPr>
        <w:spacing w:after="240" w:before="0" w:beforeAutospacing="0" w:lineRule="auto"/>
        <w:ind w:left="720" w:hanging="360"/>
        <w:rPr/>
      </w:pPr>
      <w:r w:rsidDel="00000000" w:rsidR="00000000" w:rsidRPr="00000000">
        <w:rPr>
          <w:b w:val="1"/>
          <w:bCs w:val="1"/>
          <w:rtl w:val="0"/>
        </w:rPr>
        <w:t xml:space="preserve">R15 (AI Bias):</w:t>
        <w:br w:type="textWrapping"/>
      </w:r>
      <w:r w:rsidDel="00000000" w:rsidR="00000000" w:rsidRPr="00000000">
        <w:rPr>
          <w:rtl w:val="0"/>
        </w:rPr>
        <w:t xml:space="preserve"> Improve training data diversity, implement fairness monitoring, and conduct regular audits</w:t>
      </w:r>
    </w:p>
    <w:p w:rsidR="00000000" w:rsidDel="00000000" w:rsidP="00000000" w:rsidRDefault="00000000" w:rsidRPr="00000000" w14:paraId="00000042">
      <w:pPr>
        <w:spacing w:after="240" w:before="240" w:lineRule="auto"/>
        <w:rPr/>
      </w:pPr>
      <w:r w:rsidDel="00000000" w:rsidR="00000000" w:rsidRPr="00000000">
        <w:rPr>
          <w:rtl w:val="0"/>
        </w:rPr>
        <w:t xml:space="preserve">These strategies aim to reduce both the likelihood and impact of risks.</w:t>
      </w:r>
    </w:p>
    <w:p w:rsidR="00000000" w:rsidDel="00000000" w:rsidP="00000000" w:rsidRDefault="00000000" w:rsidRPr="00000000" w14:paraId="00000043">
      <w:pPr>
        <w:pStyle w:val="Heading1"/>
        <w:keepNext w:val="0"/>
        <w:keepLines w:val="0"/>
        <w:spacing w:after="120" w:before="480" w:lineRule="auto"/>
        <w:jc w:val="left"/>
        <w:rPr/>
      </w:pPr>
      <w:bookmarkStart w:colFirst="0" w:colLast="0" w:name="_b24vx0bqp7in" w:id="21"/>
      <w:bookmarkEnd w:id="21"/>
      <w:r w:rsidDel="00000000" w:rsidR="00000000" w:rsidRPr="00000000">
        <w:rPr>
          <w:rtl w:val="0"/>
        </w:rPr>
        <w:t xml:space="preserve">6. Key Risk Indicators (KRIs)</w:t>
      </w:r>
    </w:p>
    <w:p w:rsidR="00000000" w:rsidDel="00000000" w:rsidP="00000000" w:rsidRDefault="00000000" w:rsidRPr="00000000" w14:paraId="00000044">
      <w:pPr>
        <w:spacing w:after="240" w:before="240" w:lineRule="auto"/>
        <w:rPr/>
      </w:pPr>
      <w:r w:rsidDel="00000000" w:rsidR="00000000" w:rsidRPr="00000000">
        <w:rPr>
          <w:rtl w:val="0"/>
        </w:rPr>
        <w:t xml:space="preserve">Key Risk Indicators were developed to monitor risks continuously and trigger management action:</w:t>
      </w:r>
    </w:p>
    <w:tbl>
      <w:tblPr>
        <w:tblStyle w:val="Table1"/>
        <w:tblW w:w="7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985"/>
        <w:gridCol w:w="1370"/>
        <w:gridCol w:w="3290"/>
        <w:tblGridChange w:id="0">
          <w:tblGrid>
            <w:gridCol w:w="695"/>
            <w:gridCol w:w="1985"/>
            <w:gridCol w:w="137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KRI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Market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&lt;1.5%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Increase distribution efforts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Approval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&gt;18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Escalate regulatory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Fairness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&lt;0.80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Retrain AI model</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KRIs allow management to respond proactively and prevent risks from escalating.</w:t>
      </w:r>
    </w:p>
    <w:p w:rsidR="00000000" w:rsidDel="00000000" w:rsidP="00000000" w:rsidRDefault="00000000" w:rsidRPr="00000000" w14:paraId="00000056">
      <w:pPr>
        <w:pStyle w:val="Heading1"/>
        <w:keepNext w:val="0"/>
        <w:keepLines w:val="0"/>
        <w:spacing w:after="120" w:before="480" w:lineRule="auto"/>
        <w:jc w:val="left"/>
        <w:rPr/>
      </w:pPr>
      <w:bookmarkStart w:colFirst="0" w:colLast="0" w:name="_7tp2ctgfqqjt" w:id="22"/>
      <w:bookmarkEnd w:id="22"/>
      <w:r w:rsidDel="00000000" w:rsidR="00000000" w:rsidRPr="00000000">
        <w:rPr>
          <w:rtl w:val="0"/>
        </w:rPr>
        <w:t xml:space="preserve">7. Conclusion</w:t>
      </w:r>
    </w:p>
    <w:p w:rsidR="00000000" w:rsidDel="00000000" w:rsidP="00000000" w:rsidRDefault="00000000" w:rsidRPr="00000000" w14:paraId="00000057">
      <w:pPr>
        <w:spacing w:after="240" w:before="240" w:lineRule="auto"/>
        <w:rPr/>
      </w:pPr>
      <w:r w:rsidDel="00000000" w:rsidR="00000000" w:rsidRPr="00000000">
        <w:rPr>
          <w:rtl w:val="0"/>
        </w:rPr>
        <w:t xml:space="preserve">This project demonstrates the importance of integrating qualitative and quantitative approaches in enterprise risk management.</w:t>
      </w:r>
    </w:p>
    <w:p w:rsidR="00000000" w:rsidDel="00000000" w:rsidP="00000000" w:rsidRDefault="00000000" w:rsidRPr="00000000" w14:paraId="00000058">
      <w:pPr>
        <w:spacing w:after="240" w:before="240" w:lineRule="auto"/>
        <w:rPr/>
      </w:pPr>
      <w:r w:rsidDel="00000000" w:rsidR="00000000" w:rsidRPr="00000000">
        <w:rPr>
          <w:rtl w:val="0"/>
        </w:rPr>
        <w:t xml:space="preserve">While qualitative methods provide context and understanding of risks, quantitative techniques such as statistical modeling, machine learning, and Monte Carlo simulation provide measurable insights into risk probability and impact.</w:t>
      </w:r>
    </w:p>
    <w:p w:rsidR="00000000" w:rsidDel="00000000" w:rsidP="00000000" w:rsidRDefault="00000000" w:rsidRPr="00000000" w14:paraId="00000059">
      <w:pPr>
        <w:spacing w:after="240" w:before="240" w:lineRule="auto"/>
        <w:rPr/>
      </w:pPr>
      <w:r w:rsidDel="00000000" w:rsidR="00000000" w:rsidRPr="00000000">
        <w:rPr>
          <w:rtl w:val="0"/>
        </w:rPr>
        <w:t xml:space="preserve">The results show that risks with similar scores can have very different characteristics, requiring different management strategies. High-probability risks require immediate mitigation, while high-impact risks require financial preparedness.</w:t>
      </w:r>
    </w:p>
    <w:p w:rsidR="00000000" w:rsidDel="00000000" w:rsidP="00000000" w:rsidRDefault="00000000" w:rsidRPr="00000000" w14:paraId="0000005A">
      <w:pPr>
        <w:spacing w:after="240" w:before="240" w:lineRule="auto"/>
        <w:rPr/>
      </w:pPr>
      <w:r w:rsidDel="00000000" w:rsidR="00000000" w:rsidRPr="00000000">
        <w:rPr>
          <w:rtl w:val="0"/>
        </w:rPr>
        <w:t xml:space="preserve">Overall, this data-driven approach improves decision-making and enhances the organization’s ability to manage uncertainty effectively in a complex business environment.</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Style w:val="Heading1"/>
      <w:keepNext w:val="0"/>
      <w:keepLines w:val="0"/>
      <w:spacing w:after="120" w:before="480" w:lineRule="auto"/>
      <w:jc w:val="left"/>
      <w:rPr/>
    </w:pPr>
    <w:bookmarkStart w:colFirst="0" w:colLast="0" w:name="_ey7utv9ww4ek" w:id="23"/>
    <w:bookmarkEnd w:id="23"/>
    <w:r w:rsidDel="00000000" w:rsidR="00000000" w:rsidRPr="00000000">
      <w:rPr>
        <w:rtl w:val="0"/>
      </w:rPr>
      <w:t xml:space="preserve">Enterprise Risk Analytics for Manulife–Mahindra Life Insurance Joint Venture in India</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rFonts w:ascii="Gungsuh" w:cs="Gungsuh" w:eastAsia="Gungsuh" w:hAnsi="Gungsu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