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639DA1C">
      <w:pPr>
        <w:spacing w:after="1440"/>
      </w:pPr>
    </w:p>
    <w:p w14:paraId="147137B8">
      <w:pPr>
        <w:spacing w:after="600" w:line="280" w:lineRule="auto"/>
        <w:jc w:val="center"/>
      </w:pPr>
      <w:r>
        <w:rPr>
          <w:b/>
          <w:bCs/>
          <w:color w:val="CC0000"/>
          <w:sz w:val="52"/>
          <w:szCs w:val="52"/>
        </w:rPr>
        <w:t>Northeastern University</w:t>
      </w:r>
    </w:p>
    <w:p w14:paraId="567355A0">
      <w:pPr>
        <w:spacing w:after="200" w:line="280" w:lineRule="auto"/>
        <w:jc w:val="center"/>
      </w:pPr>
      <w:r>
        <w:rPr>
          <w:b/>
          <w:bCs/>
          <w:color w:val="1F3864"/>
          <w:sz w:val="30"/>
          <w:szCs w:val="30"/>
        </w:rPr>
        <w:t>Risk Management for Analytics – ALY 6130</w:t>
      </w:r>
    </w:p>
    <w:p w14:paraId="21A8B56A">
      <w:pPr>
        <w:spacing w:after="600" w:line="280" w:lineRule="auto"/>
        <w:jc w:val="center"/>
      </w:pPr>
      <w:r>
        <w:rPr>
          <w:b/>
          <w:bCs/>
          <w:color w:val="1F3864"/>
          <w:sz w:val="30"/>
          <w:szCs w:val="30"/>
        </w:rPr>
        <w:t>Module Assignment 02: SWOT Analysis</w:t>
      </w:r>
    </w:p>
    <w:p w14:paraId="604478A0">
      <w:pPr>
        <w:spacing w:after="160" w:line="280" w:lineRule="auto"/>
        <w:jc w:val="center"/>
        <w:rPr>
          <w:b/>
          <w:bCs/>
          <w:color w:val="000000"/>
          <w:sz w:val="26"/>
          <w:szCs w:val="26"/>
        </w:rPr>
      </w:pPr>
      <w:r>
        <w:rPr>
          <w:b/>
          <w:bCs/>
          <w:color w:val="000000"/>
          <w:sz w:val="26"/>
          <w:szCs w:val="26"/>
        </w:rPr>
        <w:t>Prepared by: Niravkumar Pravinbhai Vaghela</w:t>
      </w:r>
    </w:p>
    <w:p w14:paraId="75347AFF">
      <w:pPr>
        <w:spacing w:after="160" w:line="280" w:lineRule="auto"/>
        <w:jc w:val="center"/>
        <w:rPr>
          <w:rFonts w:hint="eastAsia" w:eastAsia="SimSun"/>
          <w:b/>
          <w:bCs/>
          <w:color w:val="000000"/>
          <w:sz w:val="26"/>
          <w:szCs w:val="26"/>
          <w:lang w:val="en-US" w:eastAsia="zh-CN"/>
        </w:rPr>
      </w:pPr>
      <w:r>
        <w:rPr>
          <w:rFonts w:hint="default" w:eastAsia="SimSun"/>
          <w:b/>
          <w:bCs/>
          <w:color w:val="000000"/>
          <w:sz w:val="26"/>
          <w:szCs w:val="26"/>
          <w:lang w:val="en-US" w:eastAsia="zh-CN"/>
        </w:rPr>
        <w:t xml:space="preserve">Data Analyse by: </w:t>
      </w:r>
      <w:r>
        <w:rPr>
          <w:rFonts w:hint="eastAsia" w:eastAsia="SimSun"/>
          <w:b/>
          <w:bCs/>
          <w:color w:val="000000"/>
          <w:sz w:val="26"/>
          <w:szCs w:val="26"/>
          <w:lang w:val="en-US" w:eastAsia="zh-CN"/>
        </w:rPr>
        <w:t>Jingitng Zhan</w:t>
      </w:r>
    </w:p>
    <w:p w14:paraId="7043DEAC">
      <w:pPr>
        <w:spacing w:after="160" w:line="280" w:lineRule="auto"/>
        <w:jc w:val="center"/>
        <w:rPr>
          <w:rFonts w:hint="default" w:eastAsia="SimSun"/>
          <w:b/>
          <w:bCs/>
          <w:color w:val="000000"/>
          <w:sz w:val="26"/>
          <w:szCs w:val="26"/>
          <w:lang w:val="en-US" w:eastAsia="zh-CN"/>
        </w:rPr>
      </w:pPr>
      <w:bookmarkStart w:id="0" w:name="_GoBack"/>
      <w:bookmarkEnd w:id="0"/>
      <w:r>
        <w:rPr>
          <w:rFonts w:hint="default" w:eastAsia="SimSun"/>
          <w:b/>
          <w:bCs/>
          <w:color w:val="000000"/>
          <w:sz w:val="26"/>
          <w:szCs w:val="26"/>
          <w:lang w:val="en-US" w:eastAsia="zh-CN"/>
        </w:rPr>
        <w:t xml:space="preserve"> </w:t>
      </w:r>
      <w:r>
        <w:rPr>
          <w:rFonts w:hint="eastAsia" w:eastAsia="SimSun"/>
          <w:b/>
          <w:bCs/>
          <w:color w:val="000000"/>
          <w:sz w:val="26"/>
          <w:szCs w:val="26"/>
          <w:lang w:val="en-US" w:eastAsia="zh-CN"/>
        </w:rPr>
        <w:t>YaPing ZHen</w:t>
      </w:r>
    </w:p>
    <w:p w14:paraId="3DD47927">
      <w:pPr>
        <w:spacing w:after="160" w:line="280" w:lineRule="auto"/>
        <w:jc w:val="center"/>
        <w:rPr>
          <w:b/>
          <w:bCs/>
          <w:color w:val="000000"/>
          <w:sz w:val="26"/>
          <w:szCs w:val="26"/>
        </w:rPr>
      </w:pPr>
      <w:r>
        <w:rPr>
          <w:b/>
          <w:bCs/>
          <w:color w:val="000000"/>
          <w:sz w:val="26"/>
          <w:szCs w:val="26"/>
        </w:rPr>
        <w:t>Presented to: Abeba Nigussie Turi</w:t>
      </w:r>
    </w:p>
    <w:p w14:paraId="6320C800">
      <w:pPr>
        <w:spacing w:after="160" w:line="280" w:lineRule="auto"/>
        <w:jc w:val="center"/>
        <w:rPr>
          <w:rFonts w:hint="default" w:eastAsia="SimSun"/>
          <w:b/>
          <w:bCs/>
          <w:color w:val="000000"/>
          <w:sz w:val="26"/>
          <w:szCs w:val="26"/>
          <w:lang w:val="en-US" w:eastAsia="zh-CN"/>
        </w:rPr>
      </w:pPr>
      <w:r>
        <w:rPr>
          <w:rFonts w:hint="eastAsia" w:eastAsia="SimSun"/>
          <w:b/>
          <w:bCs/>
          <w:color w:val="000000"/>
          <w:sz w:val="26"/>
          <w:szCs w:val="26"/>
          <w:lang w:val="en-US" w:eastAsia="zh-CN"/>
        </w:rPr>
        <w:t>ALY 6130</w:t>
      </w:r>
    </w:p>
    <w:p w14:paraId="1B389DA5">
      <w:pPr>
        <w:spacing w:after="100" w:line="280" w:lineRule="auto"/>
        <w:jc w:val="center"/>
        <w:rPr>
          <w:rFonts w:hint="eastAsia" w:eastAsia="SimSun"/>
          <w:lang w:eastAsia="zh-CN"/>
        </w:rPr>
      </w:pPr>
      <w:r>
        <w:rPr>
          <w:b/>
          <w:bCs/>
          <w:color w:val="000000"/>
          <w:sz w:val="26"/>
          <w:szCs w:val="26"/>
        </w:rPr>
        <w:t>Date: March 3ʳᵈ, 2026</w:t>
      </w:r>
    </w:p>
    <w:p w14:paraId="66047990">
      <w:pPr>
        <w:spacing w:after="100" w:line="280" w:lineRule="auto"/>
      </w:pPr>
      <w:r>
        <w:br w:type="page"/>
      </w:r>
    </w:p>
    <w:p w14:paraId="54B8731C">
      <w:pPr>
        <w:spacing w:before="240" w:after="120"/>
      </w:pPr>
      <w:r>
        <w:rPr>
          <w:b/>
          <w:bCs/>
          <w:color w:val="1F3864"/>
          <w:sz w:val="28"/>
          <w:szCs w:val="28"/>
        </w:rPr>
        <w:t>Company Overview</w:t>
      </w:r>
    </w:p>
    <w:p w14:paraId="4324E54B">
      <w:pPr>
        <w:pBdr>
          <w:bottom w:val="single" w:color="2E75B6" w:sz="6" w:space="1"/>
        </w:pBdr>
        <w:spacing w:after="160"/>
      </w:pPr>
    </w:p>
    <w:p w14:paraId="797D4C34">
      <w:pPr>
        <w:spacing w:after="120" w:line="280" w:lineRule="auto"/>
      </w:pPr>
      <w:r>
        <w:rPr>
          <w:color w:val="000000"/>
        </w:rPr>
        <w:t>Manulife Financial Corporation is a leading international financial services company headquartered in Toronto, Canada, operating as John Hancock in the United States. Founded in 1887, Manulife serves more than 36 million customers across 15+ countries, manages approximately CAD $1.6 trillion (USD $1.1 trillion) in assets under management, and employs over 37,000 people alongside 109,000+ agents and distribution partners globally. The company operates across three core business segments: Insurance (individual and group life and health policies), Wealth &amp; Asset Management (retirement and investment products), and Global WAM through Manulife Investment Management.</w:t>
      </w:r>
    </w:p>
    <w:p w14:paraId="56E15E8D">
      <w:pPr>
        <w:spacing w:after="160" w:line="280" w:lineRule="auto"/>
      </w:pPr>
      <w:r>
        <w:rPr>
          <w:color w:val="000000"/>
        </w:rPr>
        <w:t>Manulife's primary growth markets are in Asia-Pacific, where it has operated for over 130 years and holds leading insurance market positions in Hong Kong, Singapore, Vietnam, the Philippines, Indonesia, and Malaysia. Asia represents approximately 40% of Manulife's core earnings and is the company's primary long-term growth engine. In 2022, Manulife committed CAD $1 billion to an enterprise-wide AI and digital transformation through 2025. By 2024, the company had deployed over 43 GenAI use cases, realizing over $600 million in digital transformation benefits. Manulife's primary competitors include AIA Group, Prudential plc, Sun Life Financial, Great-West Lifeco, and, increasingly, Big Tech platforms entering embedded insurance distribution across Asia.</w:t>
      </w:r>
    </w:p>
    <w:p w14:paraId="1EF52436">
      <w:pPr>
        <w:spacing w:before="240" w:after="120"/>
      </w:pPr>
      <w:r>
        <w:rPr>
          <w:b/>
          <w:bCs/>
          <w:color w:val="1F3864"/>
          <w:sz w:val="28"/>
          <w:szCs w:val="28"/>
        </w:rPr>
        <w:t>Acquisition Scenario</w:t>
      </w:r>
    </w:p>
    <w:p w14:paraId="3D7AEF0E">
      <w:pPr>
        <w:pBdr>
          <w:bottom w:val="single" w:color="2E75B6" w:sz="6" w:space="1"/>
        </w:pBdr>
        <w:spacing w:after="160"/>
      </w:pPr>
    </w:p>
    <w:p w14:paraId="3031B1D8">
      <w:pPr>
        <w:spacing w:after="120" w:line="280" w:lineRule="auto"/>
      </w:pPr>
      <w:r>
        <w:rPr>
          <w:color w:val="000000"/>
        </w:rPr>
        <w:t xml:space="preserve">In November 2025, Manulife Financial Corporation and Mahindra &amp; Mahindra Ltd. (M&amp;M) officially signed an agreement to establish a </w:t>
      </w:r>
      <w:r>
        <w:rPr>
          <w:b/>
          <w:bCs/>
          <w:color w:val="000000"/>
        </w:rPr>
        <w:t>50:50 Life Insurance Joint Venture in India</w:t>
      </w:r>
      <w:r>
        <w:rPr>
          <w:color w:val="000000"/>
        </w:rPr>
        <w:t xml:space="preserve"> — marking Manulife's first-ever entry into the Indian life insurance market. The JV was announced on November 13, 2025, and remains subject to regulatory approval from India's Insurance Regulatory and Development Authority (IRDAI). On February 23, 2026 — just days before this analysis — the two companies appointed Suresh Agarwal as MD &amp; CEO-designate of the JV, with operations expected to commence once regulatory approvals are received.</w:t>
      </w:r>
    </w:p>
    <w:p w14:paraId="7D80896D">
      <w:pPr>
        <w:spacing w:after="120" w:line="280" w:lineRule="auto"/>
      </w:pPr>
      <w:r>
        <w:rPr>
          <w:color w:val="000000"/>
        </w:rPr>
        <w:t>Mahindra &amp; Mahindra is one of India's most trusted and recognizable conglomerates, founded in 1945, with 324,000 employees across 100+ countries and leadership positions in farm equipment, utility vehicles, IT, and financial services. The Mahindra Group is also the world's largest tractor manufacturer by volume and has an established financial services arm — Mahindra Finance — with deep penetration into rural and semi-urban India. This is not a new relationship for Manulife: the two companies already launched Mahindra Manulife Investment Management (a mutual fund JV) in 2020, making this life insurance JV a deepening of a proven, five-year strategic partnership.</w:t>
      </w:r>
    </w:p>
    <w:p w14:paraId="47251242">
      <w:pPr>
        <w:spacing w:after="120" w:line="280" w:lineRule="auto"/>
      </w:pPr>
      <w:r>
        <w:rPr>
          <w:color w:val="000000"/>
        </w:rPr>
        <w:t>Under the JV structure, each company will invest up to USD $400 million (INR 3,600 crore) in total, with USD $140 million from each party expected in the first five years. The venture's stated vision is to become the #1 life insurance company for rural and semi-urban India, while simultaneously building leadership in protection solutions for urban customers. The JV intends to leverage Mahindra's extensive rural distribution network alongside Manulife's global underwriting expertise, AI capabilities, and agency model to serve India's vast, underpenetrated population. The parties also intend to apply for a composite insurance license, positioning the JV to enter the non-life insurance segment as regulations evolve.</w:t>
      </w:r>
    </w:p>
    <w:p w14:paraId="743A4AF6">
      <w:pPr>
        <w:spacing w:after="200" w:line="280" w:lineRule="auto"/>
      </w:pPr>
      <w:r>
        <w:rPr>
          <w:color w:val="000000"/>
        </w:rPr>
        <w:t xml:space="preserve">Each quadrant of the SWOT analysis below contains three detailed points analyzed through an ERM perspective. The Weaknesses and Threats quadrants specifically address </w:t>
      </w:r>
      <w:r>
        <w:rPr>
          <w:b/>
          <w:bCs/>
          <w:color w:val="000000"/>
        </w:rPr>
        <w:t>Technical Risk</w:t>
      </w:r>
      <w:r>
        <w:rPr>
          <w:color w:val="000000"/>
        </w:rPr>
        <w:t xml:space="preserve"> and </w:t>
      </w:r>
      <w:r>
        <w:rPr>
          <w:b/>
          <w:bCs/>
          <w:color w:val="000000"/>
        </w:rPr>
        <w:t>Information Security Risk</w:t>
      </w:r>
      <w:r>
        <w:rPr>
          <w:color w:val="000000"/>
        </w:rPr>
        <w:t xml:space="preserve"> as required by the assignment framework.</w:t>
      </w:r>
    </w:p>
    <w:p w14:paraId="4293E82C">
      <w:pPr>
        <w:spacing w:after="160" w:line="280" w:lineRule="auto"/>
        <w:jc w:val="center"/>
        <w:rPr>
          <w:b/>
          <w:bCs/>
          <w:color w:val="1F3864"/>
          <w:sz w:val="28"/>
          <w:szCs w:val="28"/>
        </w:rPr>
      </w:pPr>
    </w:p>
    <w:p w14:paraId="62B0F93D">
      <w:pPr>
        <w:spacing w:after="160" w:line="280" w:lineRule="auto"/>
        <w:jc w:val="center"/>
        <w:rPr>
          <w:b/>
          <w:bCs/>
          <w:color w:val="1F3864"/>
          <w:sz w:val="28"/>
          <w:szCs w:val="28"/>
        </w:rPr>
      </w:pPr>
    </w:p>
    <w:p w14:paraId="7B5AA92A">
      <w:pPr>
        <w:spacing w:after="160" w:line="280" w:lineRule="auto"/>
        <w:jc w:val="center"/>
      </w:pPr>
      <w:r>
        <w:rPr>
          <w:b/>
          <w:bCs/>
          <w:color w:val="1F3864"/>
          <w:sz w:val="28"/>
          <w:szCs w:val="28"/>
        </w:rPr>
        <w:t>SWOT Analysis Matrix</w:t>
      </w:r>
    </w:p>
    <w:tbl>
      <w:tblPr>
        <w:tblStyle w:val="9"/>
        <w:tblW w:w="972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4860"/>
        <w:gridCol w:w="4860"/>
      </w:tblGrid>
      <w:tr w14:paraId="7026B2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860" w:type="dxa"/>
            <w:tcBorders>
              <w:top w:val="single" w:color="C00000" w:sz="4" w:space="0"/>
              <w:left w:val="single" w:color="C00000" w:sz="4" w:space="0"/>
              <w:bottom w:val="single" w:color="C00000" w:sz="4" w:space="0"/>
              <w:right w:val="single" w:color="C00000" w:sz="4" w:space="0"/>
            </w:tcBorders>
            <w:shd w:val="clear" w:color="auto" w:fill="C00000"/>
            <w:tcMar>
              <w:top w:w="80" w:type="dxa"/>
              <w:left w:w="140" w:type="dxa"/>
              <w:bottom w:w="80" w:type="dxa"/>
              <w:right w:w="140" w:type="dxa"/>
            </w:tcMar>
          </w:tcPr>
          <w:p w14:paraId="60189C61">
            <w:pPr>
              <w:spacing w:before="70" w:after="20" w:line="280" w:lineRule="auto"/>
              <w:jc w:val="center"/>
            </w:pPr>
            <w:r>
              <w:rPr>
                <w:b/>
                <w:bCs/>
                <w:color w:val="FFFFFF"/>
                <w:sz w:val="22"/>
                <w:szCs w:val="22"/>
              </w:rPr>
              <w:t>S — STRENGTHS</w:t>
            </w:r>
          </w:p>
          <w:p w14:paraId="2B341346">
            <w:pPr>
              <w:spacing w:before="40" w:after="70" w:line="280" w:lineRule="auto"/>
              <w:jc w:val="center"/>
            </w:pPr>
            <w:r>
              <w:rPr>
                <w:i/>
                <w:iCs/>
                <w:color w:val="DDDDDD"/>
                <w:sz w:val="16"/>
                <w:szCs w:val="16"/>
              </w:rPr>
              <w:t>Internal factors that reduce JV risk</w:t>
            </w:r>
          </w:p>
        </w:tc>
        <w:tc>
          <w:tcPr>
            <w:tcW w:w="4860" w:type="dxa"/>
            <w:tcBorders>
              <w:top w:val="single" w:color="843C0C" w:sz="4" w:space="0"/>
              <w:left w:val="single" w:color="843C0C" w:sz="4" w:space="0"/>
              <w:bottom w:val="single" w:color="843C0C" w:sz="4" w:space="0"/>
              <w:right w:val="single" w:color="843C0C" w:sz="4" w:space="0"/>
            </w:tcBorders>
            <w:shd w:val="clear" w:color="auto" w:fill="843C0C"/>
            <w:tcMar>
              <w:top w:w="80" w:type="dxa"/>
              <w:left w:w="140" w:type="dxa"/>
              <w:bottom w:w="80" w:type="dxa"/>
              <w:right w:w="140" w:type="dxa"/>
            </w:tcMar>
          </w:tcPr>
          <w:p w14:paraId="07D43CB3">
            <w:pPr>
              <w:spacing w:before="70" w:after="20" w:line="280" w:lineRule="auto"/>
              <w:jc w:val="center"/>
            </w:pPr>
            <w:r>
              <w:rPr>
                <w:b/>
                <w:bCs/>
                <w:color w:val="FFFFFF"/>
                <w:sz w:val="22"/>
                <w:szCs w:val="22"/>
              </w:rPr>
              <w:t>W — WEAKNESSES</w:t>
            </w:r>
          </w:p>
          <w:p w14:paraId="74295174">
            <w:pPr>
              <w:spacing w:before="40" w:after="70" w:line="280" w:lineRule="auto"/>
              <w:jc w:val="center"/>
            </w:pPr>
            <w:r>
              <w:rPr>
                <w:i/>
                <w:iCs/>
                <w:color w:val="DDDDDD"/>
                <w:sz w:val="16"/>
                <w:szCs w:val="16"/>
              </w:rPr>
              <w:t>Internal factors that increase JV risk</w:t>
            </w:r>
          </w:p>
        </w:tc>
      </w:tr>
      <w:tr w14:paraId="3C38E9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860" w:type="dxa"/>
            <w:tcBorders>
              <w:top w:val="single" w:color="BBBBBB" w:sz="4" w:space="0"/>
              <w:left w:val="single" w:color="BBBBBB" w:sz="4" w:space="0"/>
              <w:bottom w:val="single" w:color="BBBBBB" w:sz="4" w:space="0"/>
              <w:right w:val="single" w:color="BBBBBB" w:sz="4" w:space="0"/>
            </w:tcBorders>
            <w:shd w:val="clear" w:color="auto" w:fill="FFF5F5"/>
            <w:tcMar>
              <w:top w:w="110" w:type="dxa"/>
              <w:left w:w="150" w:type="dxa"/>
              <w:bottom w:w="110" w:type="dxa"/>
              <w:right w:w="150" w:type="dxa"/>
            </w:tcMar>
          </w:tcPr>
          <w:p w14:paraId="1794C6B1">
            <w:pPr>
              <w:spacing w:before="80" w:after="30" w:line="280" w:lineRule="auto"/>
            </w:pPr>
            <w:r>
              <w:rPr>
                <w:b/>
                <w:bCs/>
                <w:color w:val="000000"/>
                <w:sz w:val="18"/>
                <w:szCs w:val="18"/>
              </w:rPr>
              <w:t>1.  Existing Partnership Eliminates Cold-Start Risk</w:t>
            </w:r>
          </w:p>
          <w:p w14:paraId="41973D5B">
            <w:pPr>
              <w:spacing w:before="40" w:after="90" w:line="280" w:lineRule="auto"/>
            </w:pPr>
            <w:r>
              <w:rPr>
                <w:color w:val="000000"/>
                <w:sz w:val="17"/>
                <w:szCs w:val="17"/>
              </w:rPr>
              <w:t>Manulife and Mahindra have operated a successful mutual fund JV — Mahindra Manulife Investment Management — since 2020. This five-year track record of co-governance, shared compliance, and operational collaboration provides a significant ERM advantage: the two organizations have already resolved cultural, governance, and reporting differences that typically derail new JVs. For Manulife, entering India's life insurance market through a trusted partner rather than a greenfield operation substantially reduces the execution risk and shortens the path to regulatory approval.</w:t>
            </w:r>
          </w:p>
          <w:p w14:paraId="6219A9B8">
            <w:pPr>
              <w:spacing w:before="80" w:after="30" w:line="280" w:lineRule="auto"/>
            </w:pPr>
            <w:r>
              <w:rPr>
                <w:b/>
                <w:bCs/>
                <w:color w:val="000000"/>
                <w:sz w:val="18"/>
                <w:szCs w:val="18"/>
              </w:rPr>
              <w:t>2.  Manulife's Global Underwriting &amp; AI Expertise</w:t>
            </w:r>
          </w:p>
          <w:p w14:paraId="0D90D3A2">
            <w:pPr>
              <w:spacing w:before="40" w:after="90" w:line="280" w:lineRule="auto"/>
            </w:pPr>
            <w:r>
              <w:rPr>
                <w:color w:val="000000"/>
                <w:sz w:val="17"/>
                <w:szCs w:val="17"/>
              </w:rPr>
              <w:t>Manulife brings world-class underwriting capabilities, reinsurance relationships, and a battle-tested AI infrastructure to the JV. With 43+ deployed GenAI use cases, 200+ data scientists, and over $600 million in realized digital transformation benefits as of 2024, Manulife provides the product development and risk management sophistication that Mahindra's distribution network alone could not build. This expertise directly reduces product risk — the JV can launch actuarially sound, competitively priced insurance products from day one rather than learning through costly claims experience.</w:t>
            </w:r>
          </w:p>
          <w:p w14:paraId="0813B4E3">
            <w:pPr>
              <w:spacing w:before="80" w:after="30" w:line="280" w:lineRule="auto"/>
            </w:pPr>
            <w:r>
              <w:rPr>
                <w:b/>
                <w:bCs/>
                <w:color w:val="000000"/>
                <w:sz w:val="18"/>
                <w:szCs w:val="18"/>
              </w:rPr>
              <w:t>3.  Mahindra's Unmatched Rural Distribution Network</w:t>
            </w:r>
          </w:p>
          <w:p w14:paraId="770F236E">
            <w:pPr>
              <w:spacing w:before="40" w:after="90" w:line="280" w:lineRule="auto"/>
            </w:pPr>
            <w:r>
              <w:rPr>
                <w:color w:val="000000"/>
                <w:sz w:val="17"/>
                <w:szCs w:val="17"/>
              </w:rPr>
              <w:t>Mahindra Finance, the group's NBFC arm, already operates one of India's most extensive rural and semi-urban financial services networks — serving customers across thousands of villages and small towns that most private insurers have never reached. Combined with Mahindra's brand trust (built over 80 years in agriculture and vehicles), this distribution asset gives the JV immediate access to the most underpenetrated segment of India's insurance market. For Manulife, this eliminates the single largest barrier to entry for foreign insurers in India: last-mile distribution reach.</w:t>
            </w:r>
          </w:p>
        </w:tc>
        <w:tc>
          <w:tcPr>
            <w:tcW w:w="4860" w:type="dxa"/>
            <w:tcBorders>
              <w:top w:val="single" w:color="BBBBBB" w:sz="4" w:space="0"/>
              <w:left w:val="single" w:color="BBBBBB" w:sz="4" w:space="0"/>
              <w:bottom w:val="single" w:color="BBBBBB" w:sz="4" w:space="0"/>
              <w:right w:val="single" w:color="BBBBBB" w:sz="4" w:space="0"/>
            </w:tcBorders>
            <w:shd w:val="clear" w:color="auto" w:fill="FFF8F2"/>
            <w:tcMar>
              <w:top w:w="110" w:type="dxa"/>
              <w:left w:w="150" w:type="dxa"/>
              <w:bottom w:w="110" w:type="dxa"/>
              <w:right w:w="150" w:type="dxa"/>
            </w:tcMar>
          </w:tcPr>
          <w:p w14:paraId="1ACF314B">
            <w:pPr>
              <w:spacing w:before="80" w:after="30" w:line="280" w:lineRule="auto"/>
            </w:pPr>
            <w:r>
              <w:rPr>
                <w:b/>
                <w:bCs/>
                <w:color w:val="000000"/>
                <w:sz w:val="18"/>
                <w:szCs w:val="18"/>
              </w:rPr>
              <w:t>1.  No Prior Experience in India's Insurance Regulatory Environment</w:t>
            </w:r>
          </w:p>
          <w:p w14:paraId="19A2C751">
            <w:pPr>
              <w:spacing w:before="40" w:after="90" w:line="280" w:lineRule="auto"/>
              <w:rPr>
                <w:rFonts w:hint="default" w:ascii="Arial" w:hAnsi="Arial" w:cs="Arial"/>
                <w:sz w:val="16"/>
                <w:szCs w:val="16"/>
              </w:rPr>
            </w:pPr>
            <w:r>
              <w:rPr>
                <w:color w:val="000000"/>
                <w:sz w:val="17"/>
                <w:szCs w:val="17"/>
              </w:rPr>
              <w:t>Despite operating in 15+ global markets, Manulife has never navigated IRDAI's regulatory framework for insurance licensing, product filing, or compliance reporting. India's insurance regulations are notably complex — IRDAI mandates specific solvency ratios, agent licensing requirements, rural and social sector obligations, and product approval timelines that differ substantially from any of Manulife's existing markets. A February 2026 IRDAI update explicitly restricts overseas insurers from simultaneously maintaining liaison offices and acting as JV partners, signaling an evolving regulatory environment that Manulife must track without prior institutional experience in the jurisdiction.</w:t>
            </w:r>
          </w:p>
          <w:p w14:paraId="14C52354">
            <w:pPr>
              <w:spacing w:before="80" w:after="30" w:line="280" w:lineRule="auto"/>
            </w:pPr>
            <w:r>
              <w:rPr>
                <w:b/>
                <w:bCs/>
                <w:color w:val="000000"/>
                <w:sz w:val="18"/>
                <w:szCs w:val="18"/>
              </w:rPr>
              <w:t>2.  (Technical Risk) Integrating Manulife's AI Platform with Indian Digital Infrastructure</w:t>
            </w:r>
          </w:p>
          <w:p w14:paraId="69E90A21">
            <w:pPr>
              <w:spacing w:before="40" w:after="90" w:line="280" w:lineRule="auto"/>
            </w:pPr>
            <w:r>
              <w:rPr>
                <w:color w:val="000000"/>
                <w:sz w:val="17"/>
                <w:szCs w:val="17"/>
              </w:rPr>
              <w:t>Manulife's enterprise AI and policy administration systems were built for North American and Southeast Asian markets and operate on technology stacks, data standards, and cloud infrastructure that may not be directly compatible with India's digital ecosystem. Integrating these systems with India's DigiLocker identity platform, Aadhaar-based KYC, UPI payment rails, and IRDAI's regulatory reporting systems introduces significant technical complexity. Any integration failure could delay product launches, create claims processing errors, or produce compliance gaps in IRDAI submissions — any of which could jeopardize the JV's insurance license renewal and reputation in a brand-new market.</w:t>
            </w:r>
          </w:p>
          <w:p w14:paraId="2C36922B">
            <w:pPr>
              <w:spacing w:before="80" w:after="30" w:line="280" w:lineRule="auto"/>
            </w:pPr>
            <w:r>
              <w:rPr>
                <w:b/>
                <w:bCs/>
                <w:color w:val="000000"/>
                <w:sz w:val="18"/>
                <w:szCs w:val="18"/>
              </w:rPr>
              <w:t>3.  (Information Security Risk) Customer Data Exposure in a New Regulatory Jurisdiction</w:t>
            </w:r>
          </w:p>
          <w:p w14:paraId="449250F7">
            <w:pPr>
              <w:spacing w:before="40" w:after="90" w:line="280" w:lineRule="auto"/>
            </w:pPr>
            <w:r>
              <w:rPr>
                <w:color w:val="000000"/>
                <w:sz w:val="17"/>
                <w:szCs w:val="17"/>
              </w:rPr>
              <w:t>The JV will collect and process highly sensitive personal and financial data from Indian policyholders — including Aadhaar numbers, health declarations, income details, and beneficiary information — under India's Digital Personal Data Protection Act (DPDPA), enacted in 2023 and still being operationalized. Manulife's existing data governance frameworks were designed for GDPR, PIPEDA, and PDPA — not DPDPA. Any data localization requirement, consent framework misalignment, or security breach involving Indian policyholder data could trigger IRDAI sanctions, DPDPA penalties, and reputational damage in a market where trust is the primary driver of insurance adoption, particularly in rural communities.</w:t>
            </w:r>
          </w:p>
        </w:tc>
      </w:tr>
      <w:tr w14:paraId="58FE37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860" w:type="dxa"/>
            <w:tcBorders>
              <w:top w:val="single" w:color="1E5631" w:sz="4" w:space="0"/>
              <w:left w:val="single" w:color="1E5631" w:sz="4" w:space="0"/>
              <w:bottom w:val="single" w:color="1E5631" w:sz="4" w:space="0"/>
              <w:right w:val="single" w:color="1E5631" w:sz="4" w:space="0"/>
            </w:tcBorders>
            <w:shd w:val="clear" w:color="auto" w:fill="1E5631"/>
            <w:tcMar>
              <w:top w:w="80" w:type="dxa"/>
              <w:left w:w="140" w:type="dxa"/>
              <w:bottom w:w="80" w:type="dxa"/>
              <w:right w:w="140" w:type="dxa"/>
            </w:tcMar>
          </w:tcPr>
          <w:p w14:paraId="6E5AF314">
            <w:pPr>
              <w:spacing w:before="70" w:after="20" w:line="280" w:lineRule="auto"/>
              <w:jc w:val="center"/>
            </w:pPr>
            <w:r>
              <w:rPr>
                <w:b/>
                <w:bCs/>
                <w:color w:val="FFFFFF"/>
                <w:sz w:val="22"/>
                <w:szCs w:val="22"/>
              </w:rPr>
              <w:t>O — OPPORTUNITIES</w:t>
            </w:r>
          </w:p>
          <w:p w14:paraId="322C4ABD">
            <w:pPr>
              <w:spacing w:before="40" w:after="70" w:line="280" w:lineRule="auto"/>
              <w:jc w:val="center"/>
            </w:pPr>
            <w:r>
              <w:rPr>
                <w:i/>
                <w:iCs/>
                <w:color w:val="DDDDDD"/>
                <w:sz w:val="16"/>
                <w:szCs w:val="16"/>
              </w:rPr>
              <w:t>External factors that strengthen the JV case</w:t>
            </w:r>
          </w:p>
        </w:tc>
        <w:tc>
          <w:tcPr>
            <w:tcW w:w="4860" w:type="dxa"/>
            <w:tcBorders>
              <w:top w:val="single" w:color="1A4A72" w:sz="4" w:space="0"/>
              <w:left w:val="single" w:color="1A4A72" w:sz="4" w:space="0"/>
              <w:bottom w:val="single" w:color="1A4A72" w:sz="4" w:space="0"/>
              <w:right w:val="single" w:color="1A4A72" w:sz="4" w:space="0"/>
            </w:tcBorders>
            <w:shd w:val="clear" w:color="auto" w:fill="1A4A72"/>
            <w:tcMar>
              <w:top w:w="80" w:type="dxa"/>
              <w:left w:w="140" w:type="dxa"/>
              <w:bottom w:w="80" w:type="dxa"/>
              <w:right w:w="140" w:type="dxa"/>
            </w:tcMar>
          </w:tcPr>
          <w:p w14:paraId="683C13E4">
            <w:pPr>
              <w:spacing w:before="70" w:after="20" w:line="280" w:lineRule="auto"/>
              <w:jc w:val="center"/>
            </w:pPr>
            <w:r>
              <w:rPr>
                <w:b/>
                <w:bCs/>
                <w:color w:val="FFFFFF"/>
                <w:sz w:val="22"/>
                <w:szCs w:val="22"/>
              </w:rPr>
              <w:t>T — THREATS</w:t>
            </w:r>
          </w:p>
          <w:p w14:paraId="63D40CDC">
            <w:pPr>
              <w:spacing w:before="40" w:after="70" w:line="280" w:lineRule="auto"/>
              <w:jc w:val="center"/>
            </w:pPr>
            <w:r>
              <w:rPr>
                <w:i/>
                <w:iCs/>
                <w:color w:val="DDDDDD"/>
                <w:sz w:val="16"/>
                <w:szCs w:val="16"/>
              </w:rPr>
              <w:t>External dangers that could undermine the JV</w:t>
            </w:r>
          </w:p>
        </w:tc>
      </w:tr>
      <w:tr w14:paraId="4D1295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860" w:type="dxa"/>
            <w:tcBorders>
              <w:top w:val="single" w:color="BBBBBB" w:sz="4" w:space="0"/>
              <w:left w:val="single" w:color="BBBBBB" w:sz="4" w:space="0"/>
              <w:bottom w:val="single" w:color="BBBBBB" w:sz="4" w:space="0"/>
              <w:right w:val="single" w:color="BBBBBB" w:sz="4" w:space="0"/>
            </w:tcBorders>
            <w:shd w:val="clear" w:color="auto" w:fill="F0FFF5"/>
            <w:tcMar>
              <w:top w:w="110" w:type="dxa"/>
              <w:left w:w="150" w:type="dxa"/>
              <w:bottom w:w="110" w:type="dxa"/>
              <w:right w:w="150" w:type="dxa"/>
            </w:tcMar>
          </w:tcPr>
          <w:p w14:paraId="2BA412B3">
            <w:pPr>
              <w:spacing w:before="80" w:after="30" w:line="280" w:lineRule="auto"/>
            </w:pPr>
            <w:r>
              <w:rPr>
                <w:b/>
                <w:bCs/>
                <w:color w:val="000000"/>
                <w:sz w:val="18"/>
                <w:szCs w:val="18"/>
              </w:rPr>
              <w:t>1.  India's Massively Underpenetrated Life Insurance Market</w:t>
            </w:r>
          </w:p>
          <w:p w14:paraId="506E37C4">
            <w:pPr>
              <w:spacing w:before="40" w:after="90" w:line="280" w:lineRule="auto"/>
            </w:pPr>
            <w:r>
              <w:rPr>
                <w:color w:val="000000"/>
                <w:sz w:val="17"/>
                <w:szCs w:val="17"/>
              </w:rPr>
              <w:t>India's life insurance penetration stands at just 2.7% of GDP — among the lowest of any major economy — despite being the world's most populous country with a rapidly expanding middle class. The market has grown at a 12% CAGR over the past five years and is projected to reach USD $156.2 billion in 2026 and USD $244.5 billion by 2031. India's government has set a national target of 'Insurance for All by 2047.' This macro tailwind means the JV is entering a market at the beginning of a multi-decade growth cycle, significantly reducing the strategic risk that the investment will fail to generate returns.</w:t>
            </w:r>
          </w:p>
          <w:p w14:paraId="2F5E32C5">
            <w:pPr>
              <w:spacing w:before="80" w:after="30" w:line="280" w:lineRule="auto"/>
            </w:pPr>
            <w:r>
              <w:rPr>
                <w:b/>
                <w:bCs/>
                <w:color w:val="000000"/>
                <w:sz w:val="18"/>
                <w:szCs w:val="18"/>
              </w:rPr>
              <w:t>2.  First-Mover Advantage in Rural and Semi-Urban India</w:t>
            </w:r>
          </w:p>
          <w:p w14:paraId="4BCE7DDE">
            <w:pPr>
              <w:spacing w:before="40" w:after="90" w:line="280" w:lineRule="auto"/>
            </w:pPr>
            <w:r>
              <w:rPr>
                <w:color w:val="000000"/>
                <w:sz w:val="17"/>
                <w:szCs w:val="17"/>
              </w:rPr>
              <w:t>The majority of India's uninsured population resides in rural and semi-urban areas — the exact segment where Mahindra Finance's distribution network is strongest. Most private insurers (HDFC Life, ICICI Prudential, SBI Life) are concentrated in urban metro markets. By targeting the rural protection gap immediately, the JV can build brand loyalty and policyholder relationships in underserved communities before competitors recognize the opportunity. Customers acquired early in rural markets tend to demonstrate strong policy persistency — a key driver of long-term profitability in life insurance.</w:t>
            </w:r>
          </w:p>
          <w:p w14:paraId="4BBF805E">
            <w:pPr>
              <w:spacing w:before="80" w:after="30" w:line="280" w:lineRule="auto"/>
            </w:pPr>
            <w:r>
              <w:rPr>
                <w:b/>
                <w:bCs/>
                <w:color w:val="000000"/>
                <w:sz w:val="18"/>
                <w:szCs w:val="18"/>
              </w:rPr>
              <w:t>3.  Composite License Opportunity in Non-Life Insurance</w:t>
            </w:r>
          </w:p>
          <w:p w14:paraId="0CAC845F">
            <w:pPr>
              <w:spacing w:before="40" w:after="90" w:line="280" w:lineRule="auto"/>
            </w:pPr>
            <w:r>
              <w:rPr>
                <w:color w:val="000000"/>
                <w:sz w:val="17"/>
                <w:szCs w:val="17"/>
              </w:rPr>
              <w:t>India's IRDAI is actively developing a composite insurance license framework that would allow a single insurer to offer both life and non-life (general and health) insurance products. The JV has explicitly stated its intention to apply for a composite license once regulations permit. This creates a significant future opportunity to cross-sell property, motor, and health insurance to the same rural customer base, multiplying revenue per customer without proportional increases in distribution cost. No existing foreign-partnered insurer in India has yet secured a composite license — making this a genuine first-mover opportunity if the JV executes its entry strategy successfully.</w:t>
            </w:r>
          </w:p>
        </w:tc>
        <w:tc>
          <w:tcPr>
            <w:tcW w:w="4860" w:type="dxa"/>
            <w:tcBorders>
              <w:top w:val="single" w:color="BBBBBB" w:sz="4" w:space="0"/>
              <w:left w:val="single" w:color="BBBBBB" w:sz="4" w:space="0"/>
              <w:bottom w:val="single" w:color="BBBBBB" w:sz="4" w:space="0"/>
              <w:right w:val="single" w:color="BBBBBB" w:sz="4" w:space="0"/>
            </w:tcBorders>
            <w:shd w:val="clear" w:color="auto" w:fill="F0F5FF"/>
            <w:tcMar>
              <w:top w:w="110" w:type="dxa"/>
              <w:left w:w="150" w:type="dxa"/>
              <w:bottom w:w="110" w:type="dxa"/>
              <w:right w:w="150" w:type="dxa"/>
            </w:tcMar>
          </w:tcPr>
          <w:p w14:paraId="515EEB68">
            <w:pPr>
              <w:spacing w:before="80" w:after="30" w:line="280" w:lineRule="auto"/>
            </w:pPr>
            <w:r>
              <w:rPr>
                <w:b/>
                <w:bCs/>
                <w:color w:val="000000"/>
                <w:sz w:val="18"/>
                <w:szCs w:val="18"/>
              </w:rPr>
              <w:t>1.  Intense Competition from LIC and Entrenched Private Players</w:t>
            </w:r>
          </w:p>
          <w:p w14:paraId="75E2FD29">
            <w:pPr>
              <w:spacing w:before="40" w:after="90" w:line="280" w:lineRule="auto"/>
              <w:rPr>
                <w:rFonts w:hint="default" w:ascii="Arial" w:hAnsi="Arial" w:cs="Arial"/>
                <w:sz w:val="18"/>
                <w:szCs w:val="18"/>
              </w:rPr>
            </w:pPr>
            <w:r>
              <w:rPr>
                <w:color w:val="000000"/>
                <w:sz w:val="17"/>
                <w:szCs w:val="17"/>
              </w:rPr>
              <w:t>The JV enters a market dominated by the Life Insurance Corporation of India (LIC), which controls over 57% of first-year premium market share and carries an implicit government guarantee that gives Indian policyholders unshakeable trust in the brand. Private competitors — HDFC Life, ICICI Prudential Life, and SBI Life — have spent decades building agent networks, brand recognition, and claims track records. Break-even periods for new life insurers in India typically extend to 10 years. The JV will need disciplined capital deployment and realistic expectations about the timeline to profitability — a risk that must be clearly communicated to Manulife shareholders.</w:t>
            </w:r>
            <w:r>
              <w:rPr>
                <w:rFonts w:hint="eastAsia" w:eastAsia="SimSun"/>
                <w:color w:val="000000"/>
                <w:sz w:val="17"/>
                <w:szCs w:val="17"/>
                <w:lang w:val="en-US" w:eastAsia="zh-CN"/>
              </w:rPr>
              <w:t xml:space="preserve"> </w:t>
            </w:r>
            <w:r>
              <w:rPr>
                <w:rFonts w:hint="default" w:ascii="Arial" w:hAnsi="Arial" w:eastAsia="SimSun" w:cs="Arial"/>
                <w:sz w:val="18"/>
                <w:szCs w:val="18"/>
              </w:rPr>
              <w:t>Manulife faces significant regulatory uncertainty due to its lack of prior experience operating within India's IRDAI insurance framework.</w:t>
            </w:r>
          </w:p>
          <w:p w14:paraId="539706DA">
            <w:pPr>
              <w:spacing w:before="40" w:after="90" w:line="280" w:lineRule="auto"/>
              <w:rPr>
                <w:rFonts w:hint="eastAsia" w:eastAsia="SimSun"/>
                <w:lang w:val="en-US" w:eastAsia="zh-CN"/>
              </w:rPr>
            </w:pPr>
          </w:p>
          <w:p w14:paraId="77A54AB1">
            <w:pPr>
              <w:spacing w:before="80" w:after="30" w:line="280" w:lineRule="auto"/>
            </w:pPr>
            <w:r>
              <w:rPr>
                <w:b/>
                <w:bCs/>
                <w:color w:val="000000"/>
                <w:sz w:val="18"/>
                <w:szCs w:val="18"/>
              </w:rPr>
              <w:t>2.  (Technical Risk) Digital-First Strategy in a Market with Uneven Digital Infrastructure</w:t>
            </w:r>
          </w:p>
          <w:p w14:paraId="1B2F5B9E">
            <w:pPr>
              <w:spacing w:before="40" w:after="90" w:line="280" w:lineRule="auto"/>
            </w:pPr>
            <w:r>
              <w:rPr>
                <w:color w:val="000000"/>
                <w:sz w:val="17"/>
                <w:szCs w:val="17"/>
              </w:rPr>
              <w:t>The JV intends to be 'digital-first' — leveraging AI, mobile platforms, and data analytics for customer acquisition, underwriting, and service. However, rural India's digital infrastructure remains uneven: smartphone penetration in rural areas is growing but inconsistent, internet connectivity is unreliable in many target districts, and digital literacy among the primary target demographic (rural, first-time insurance buyers) is limited. A technology-dependent distribution model that fails to reach customers in low-connectivity areas will leave the JV's core rural ambition unfulfilled, forcing expensive investments in physical branch infrastructure that was not in the original capital plan. This technology delivery risk is the most operationally consequential risk the JV faces in its first three years.</w:t>
            </w:r>
          </w:p>
          <w:p w14:paraId="02DA84DC">
            <w:pPr>
              <w:spacing w:before="80" w:after="30" w:line="280" w:lineRule="auto"/>
            </w:pPr>
            <w:r>
              <w:rPr>
                <w:b/>
                <w:bCs/>
                <w:color w:val="000000"/>
                <w:sz w:val="18"/>
                <w:szCs w:val="18"/>
              </w:rPr>
              <w:t>3.  (Information Security Risk) Cybersecurity Threats Targeting India's Growing Fintech Ecosystem</w:t>
            </w:r>
          </w:p>
          <w:p w14:paraId="142791D7">
            <w:pPr>
              <w:spacing w:before="40" w:after="90" w:line="280" w:lineRule="auto"/>
            </w:pPr>
            <w:r>
              <w:rPr>
                <w:color w:val="000000"/>
                <w:sz w:val="17"/>
                <w:szCs w:val="17"/>
              </w:rPr>
              <w:t>India's financial services sector experienced a 278% increase in cyberattacks between 2022 and 2024, making it one of the fastest-growing targets globally (CERT-In, 2024). As a high-profile foreign-backed insurance JV deploying AI and collecting Aadhaar-linked personal data at scale, the Manulife-Mahindra venture will be an attractive target for both financially motivated cybercriminals and state-sponsored actors. India's cybersecurity regulations for insurers — including IRDAI's Information and Cyber Security Guidelines (2023) — require specific incident reporting timelines, data localization measures, and third-party audit compliance. Any breach of policyholder data in the JV's early years would be catastrophic for brand trust in rural communities where personal referral and word-of-mouth are the primary channels for insurance adoption.</w:t>
            </w:r>
          </w:p>
        </w:tc>
      </w:tr>
    </w:tbl>
    <w:p w14:paraId="5CF03AC0">
      <w:pPr>
        <w:spacing w:after="200"/>
      </w:pPr>
    </w:p>
    <w:p w14:paraId="070ACC31">
      <w:pPr>
        <w:spacing w:before="240" w:after="120"/>
      </w:pPr>
      <w:r>
        <w:rPr>
          <w:b/>
          <w:bCs/>
          <w:color w:val="1F3864"/>
          <w:sz w:val="28"/>
          <w:szCs w:val="28"/>
        </w:rPr>
        <w:t>Enterprise Risk Management Summary</w:t>
      </w:r>
    </w:p>
    <w:p w14:paraId="4448319E">
      <w:pPr>
        <w:pBdr>
          <w:bottom w:val="single" w:color="2E75B6" w:sz="6" w:space="1"/>
        </w:pBdr>
        <w:spacing w:after="160"/>
      </w:pPr>
    </w:p>
    <w:p w14:paraId="20A44E9F">
      <w:pPr>
        <w:spacing w:after="120" w:line="280" w:lineRule="auto"/>
      </w:pPr>
      <w:r>
        <w:rPr>
          <w:color w:val="000000"/>
        </w:rPr>
        <w:t>Viewed through the lens of Enterprise Risk Management, the Manulife × Mahindra Life Insurance JV represents a strategically compelling and well-structured market entry, de-risked by an existing five-year partnership and supported by powerful macroeconomic tailwinds. However, it introduces several risk categories that Manulife has not previously managed at scale in a single market. The following key risk themes require sustained management attention:</w:t>
      </w:r>
    </w:p>
    <w:p w14:paraId="5A68E388">
      <w:pPr>
        <w:spacing w:after="100" w:line="280" w:lineRule="auto"/>
      </w:pPr>
      <w:r>
        <w:rPr>
          <w:b/>
          <w:bCs/>
          <w:color w:val="000000"/>
        </w:rPr>
        <w:t xml:space="preserve">Financial Risk: </w:t>
      </w:r>
      <w:r>
        <w:rPr>
          <w:color w:val="000000"/>
        </w:rPr>
        <w:t>Manageable but requires discipline. Each party commits up to USD $400 million over an extended horizon, with USD $140 million in the first five years — a modest allocation relative to Manulife's $1.6 trillion AUM. However, India's insurance market has a structural 10-year break-even expectation for new entrants. Manulife must manage shareholder expectations around the JV's profitability timeline and ensure capital deployment is phased against realistic market penetration milestones.</w:t>
      </w:r>
    </w:p>
    <w:p w14:paraId="04EDB3F9">
      <w:pPr>
        <w:spacing w:after="100" w:line="280" w:lineRule="auto"/>
      </w:pPr>
      <w:r>
        <w:rPr>
          <w:b/>
          <w:bCs/>
          <w:color w:val="843C0C"/>
        </w:rPr>
        <w:t xml:space="preserve">Technical Risk: </w:t>
      </w:r>
      <w:r>
        <w:rPr>
          <w:color w:val="000000"/>
        </w:rPr>
        <w:t>Rated HIGH. Two distinct technical risks are present: (1) integrating Manulife's global AI and policy administration platform with India-specific digital infrastructure (Aadhaar KYC, UPI, IRDAI reporting systems) is a complex multi-year engineering challenge; and (2) the digital-first strategy faces real delivery risk in rural markets where connectivity and digital literacy are inconsistent. Manulife must invest in hybrid distribution capabilities — combining AI and mobile for urban markets with agent-assisted offline tools for rural ones — to avoid a technology gap that leaves the JV's core market ambition unrealized.</w:t>
      </w:r>
    </w:p>
    <w:p w14:paraId="2E1E0996">
      <w:pPr>
        <w:spacing w:after="100" w:line="280" w:lineRule="auto"/>
      </w:pPr>
      <w:r>
        <w:rPr>
          <w:b/>
          <w:bCs/>
          <w:color w:val="C00000"/>
        </w:rPr>
        <w:t xml:space="preserve">Information Security Risk: </w:t>
      </w:r>
      <w:r>
        <w:rPr>
          <w:color w:val="000000"/>
        </w:rPr>
        <w:t>Rated HIGH. The JV will operate under India's new Digital Personal Data Protection Act (DPDPA, 2023) and IRDAI's Cyber Security Guidelines — regulatory frameworks that Manulife has no prior experience navigating. The combination of Aadhaar-linked personal data, AI-driven underwriting, and rural-scale data collection creates a significant breach exposure. India's fintech sector experienced a 278% increase in cyberattacks from 2022–2024. A security incident in the JV's early years would be disproportionately damaging to brand trust in rural communities, where the JV's entire growth strategy depends on being perceived as a safe and trustworthy institution.</w:t>
      </w:r>
    </w:p>
    <w:p w14:paraId="516286D3">
      <w:pPr>
        <w:spacing w:after="100" w:line="280" w:lineRule="auto"/>
      </w:pPr>
      <w:r>
        <w:rPr>
          <w:b/>
          <w:bCs/>
          <w:color w:val="1F3864"/>
        </w:rPr>
        <w:t xml:space="preserve">Competitive Risk: </w:t>
      </w:r>
      <w:r>
        <w:rPr>
          <w:color w:val="000000"/>
        </w:rPr>
        <w:t>Rated MODERATE. LIC's 57%+ market dominance and its implicit government guarantee create a structural disadvantage for any private or foreign-backed insurer in India. The JV's rural differentiation strategy is sound — no major private insurer has successfully built LIC-scale rural penetration — but execution will require years of consistent distribution investment and claims payment reliability to overcome the cultural preference for government-backed insurance among first-time buyers.</w:t>
      </w:r>
    </w:p>
    <w:p w14:paraId="4BDB237E">
      <w:pPr>
        <w:spacing w:after="200" w:line="280" w:lineRule="auto"/>
      </w:pPr>
      <w:r>
        <w:rPr>
          <w:b/>
          <w:bCs/>
          <w:color w:val="000000"/>
        </w:rPr>
        <w:t xml:space="preserve">Overall Assessment: </w:t>
      </w:r>
      <w:r>
        <w:rPr>
          <w:color w:val="000000"/>
        </w:rPr>
        <w:t>The Manulife × Mahindra JV is a strategically sound and well-timed market entry into one of the world's highest-growth insurance markets. The existing partnership foundation, Mahindra's distribution strength, and India's structural insurance demand gap create a compelling long-term opportunity. However, success requires Manulife to immediately address three ERM priorities: (1) build a dedicated India regulatory compliance team with IRDAI expertise; (2) architect a hybrid digital-and-agent distribution model that works in low-connectivity rural environments; and (3) conduct a full cybersecurity architecture review aligned to DPDPA and IRDAI cyber guidelines before the JV begins collecting policyholder data at scale. Executed with this level of ERM discipline, the JV has genuine potential to become the #1 life insurer in rural India within a decade.</w:t>
      </w:r>
    </w:p>
    <w:p w14:paraId="30ED869F">
      <w:pPr>
        <w:spacing w:before="240" w:after="120"/>
      </w:pPr>
      <w:r>
        <w:rPr>
          <w:b/>
          <w:bCs/>
          <w:color w:val="1F3864"/>
          <w:sz w:val="28"/>
          <w:szCs w:val="28"/>
        </w:rPr>
        <w:t>References</w:t>
      </w:r>
    </w:p>
    <w:p w14:paraId="2352402E">
      <w:pPr>
        <w:pBdr>
          <w:bottom w:val="single" w:color="2E75B6" w:sz="6" w:space="1"/>
        </w:pBdr>
        <w:spacing w:after="160"/>
      </w:pPr>
    </w:p>
    <w:p w14:paraId="2574E3F4">
      <w:pPr>
        <w:spacing w:after="80" w:line="280" w:lineRule="auto"/>
      </w:pPr>
      <w:r>
        <w:rPr>
          <w:color w:val="000000"/>
        </w:rPr>
        <w:t xml:space="preserve">Business Standard. (2025, November 13). </w:t>
      </w:r>
      <w:r>
        <w:rPr>
          <w:i/>
          <w:iCs/>
          <w:color w:val="000000"/>
        </w:rPr>
        <w:t>M&amp;M, Manulife to set up life insurance JV with ₹3,600 cr investment.</w:t>
      </w:r>
      <w:r>
        <w:rPr>
          <w:color w:val="000000"/>
        </w:rPr>
        <w:t xml:space="preserve"> Business Standard. https://www.business-standard.com/companies/news/mahindra-manulife-life-insurance-jv-india-125111300587_1.html</w:t>
      </w:r>
    </w:p>
    <w:p w14:paraId="1059C6CF">
      <w:pPr>
        <w:spacing w:after="80" w:line="280" w:lineRule="auto"/>
      </w:pPr>
      <w:r>
        <w:rPr>
          <w:color w:val="000000"/>
        </w:rPr>
        <w:t xml:space="preserve">CERT-In. (2024). </w:t>
      </w:r>
      <w:r>
        <w:rPr>
          <w:i/>
          <w:iCs/>
          <w:color w:val="000000"/>
        </w:rPr>
        <w:t>Annual report on cybersecurity incidents in India 2024.</w:t>
      </w:r>
      <w:r>
        <w:rPr>
          <w:color w:val="000000"/>
        </w:rPr>
        <w:t xml:space="preserve"> Indian Computer Emergency Response Team, Ministry of Electronics &amp; IT. https://www.cert-in.org.in</w:t>
      </w:r>
    </w:p>
    <w:p w14:paraId="5F2CAB65">
      <w:pPr>
        <w:spacing w:after="80" w:line="280" w:lineRule="auto"/>
      </w:pPr>
      <w:r>
        <w:rPr>
          <w:color w:val="000000"/>
        </w:rPr>
        <w:t xml:space="preserve">Committee of Sponsoring Organizations of the Treadway Commission (COSO). (2017). </w:t>
      </w:r>
      <w:r>
        <w:rPr>
          <w:i/>
          <w:iCs/>
          <w:color w:val="000000"/>
        </w:rPr>
        <w:t>Enterprise risk management — Integrating with strategy and performance.</w:t>
      </w:r>
      <w:r>
        <w:rPr>
          <w:color w:val="000000"/>
        </w:rPr>
        <w:t xml:space="preserve"> COSO. https://www.coso.org/guidance-erm</w:t>
      </w:r>
    </w:p>
    <w:p w14:paraId="4FB8245F">
      <w:pPr>
        <w:spacing w:after="80" w:line="280" w:lineRule="auto"/>
      </w:pPr>
      <w:r>
        <w:rPr>
          <w:color w:val="000000"/>
        </w:rPr>
        <w:t xml:space="preserve">Grand View Research. (2024). </w:t>
      </w:r>
      <w:r>
        <w:rPr>
          <w:i/>
          <w:iCs/>
          <w:color w:val="000000"/>
        </w:rPr>
        <w:t>Life insurance market size, share &amp; trends analysis report, 2024–2031.</w:t>
      </w:r>
      <w:r>
        <w:rPr>
          <w:color w:val="000000"/>
        </w:rPr>
        <w:t xml:space="preserve"> Grand View Research. https://www.grandviewresearch.com/industry-analysis/life-insurance-market</w:t>
      </w:r>
    </w:p>
    <w:p w14:paraId="665832D1">
      <w:pPr>
        <w:spacing w:after="80" w:line="280" w:lineRule="auto"/>
      </w:pPr>
      <w:r>
        <w:rPr>
          <w:color w:val="000000"/>
        </w:rPr>
        <w:t xml:space="preserve">Insurance Regulatory and Development Authority of India (IRDAI). (2023). </w:t>
      </w:r>
      <w:r>
        <w:rPr>
          <w:i/>
          <w:iCs/>
          <w:color w:val="000000"/>
        </w:rPr>
        <w:t>Guidelines on information and cyber security for insurers.</w:t>
      </w:r>
      <w:r>
        <w:rPr>
          <w:color w:val="000000"/>
        </w:rPr>
        <w:t xml:space="preserve"> IRDAI. https://www.irdai.gov.in</w:t>
      </w:r>
    </w:p>
    <w:p w14:paraId="60A261C0">
      <w:pPr>
        <w:spacing w:after="80" w:line="280" w:lineRule="auto"/>
      </w:pPr>
      <w:r>
        <w:rPr>
          <w:color w:val="000000"/>
        </w:rPr>
        <w:t xml:space="preserve">Mahindra &amp; Mahindra Ltd. (2026, February 23). </w:t>
      </w:r>
      <w:r>
        <w:rPr>
          <w:i/>
          <w:iCs/>
          <w:color w:val="000000"/>
        </w:rPr>
        <w:t>Suresh Agarwal appointed as MD &amp; CEO designate of life insurance JV between Mahindra and Manulife.</w:t>
      </w:r>
      <w:r>
        <w:rPr>
          <w:color w:val="000000"/>
        </w:rPr>
        <w:t xml:space="preserve"> Mahindra Newsroom. https://www.mahindra.com/news-room/press-release</w:t>
      </w:r>
    </w:p>
    <w:p w14:paraId="508CFD2F">
      <w:pPr>
        <w:spacing w:after="80" w:line="280" w:lineRule="auto"/>
      </w:pPr>
      <w:r>
        <w:rPr>
          <w:color w:val="000000"/>
        </w:rPr>
        <w:t xml:space="preserve">Manulife Financial Corporation. (2025, November 13). </w:t>
      </w:r>
      <w:r>
        <w:rPr>
          <w:i/>
          <w:iCs/>
          <w:color w:val="000000"/>
        </w:rPr>
        <w:t>Manulife and Mahindra &amp; Mahindra agree to establish 50:50 life insurance joint venture in India.</w:t>
      </w:r>
      <w:r>
        <w:rPr>
          <w:color w:val="000000"/>
        </w:rPr>
        <w:t xml:space="preserve"> Manulife. https://www.manulife.com/ca/en/about-us/news/november-2025-announcement</w:t>
      </w:r>
    </w:p>
    <w:p w14:paraId="4BD9C645">
      <w:pPr>
        <w:spacing w:after="80" w:line="280" w:lineRule="auto"/>
      </w:pPr>
      <w:r>
        <w:rPr>
          <w:color w:val="000000"/>
        </w:rPr>
        <w:t xml:space="preserve">Manulife Financial Corporation. (2025). </w:t>
      </w:r>
      <w:r>
        <w:rPr>
          <w:i/>
          <w:iCs/>
          <w:color w:val="000000"/>
        </w:rPr>
        <w:t>Management’s discussion and analysis — Full year 2024.</w:t>
      </w:r>
      <w:r>
        <w:rPr>
          <w:color w:val="000000"/>
        </w:rPr>
        <w:t xml:space="preserve"> Manulife. https://www.manulife.com/investors</w:t>
      </w:r>
    </w:p>
    <w:p w14:paraId="7C9828DE">
      <w:pPr>
        <w:spacing w:after="80" w:line="280" w:lineRule="auto"/>
      </w:pPr>
      <w:r>
        <w:rPr>
          <w:color w:val="000000"/>
        </w:rPr>
        <w:t xml:space="preserve">Ministry of Electronics and Information Technology, Government of India. (2023). </w:t>
      </w:r>
      <w:r>
        <w:rPr>
          <w:i/>
          <w:iCs/>
          <w:color w:val="000000"/>
        </w:rPr>
        <w:t>The Digital Personal Data Protection Act, 2023.</w:t>
      </w:r>
      <w:r>
        <w:rPr>
          <w:color w:val="000000"/>
        </w:rPr>
        <w:t xml:space="preserve"> MeitY. https://www.meity.gov.in/data-protection-framework</w:t>
      </w:r>
    </w:p>
    <w:p w14:paraId="7464CAC0">
      <w:pPr>
        <w:spacing w:after="80" w:line="280" w:lineRule="auto"/>
      </w:pPr>
      <w:r>
        <w:rPr>
          <w:color w:val="000000"/>
        </w:rPr>
        <w:t xml:space="preserve">Outlook Business. (2025, November 13). </w:t>
      </w:r>
      <w:r>
        <w:rPr>
          <w:i/>
          <w:iCs/>
          <w:color w:val="000000"/>
        </w:rPr>
        <w:t>Mahindra &amp; Mahindra to enter life insurance sector in JV with Canada’s Manulife.</w:t>
      </w:r>
      <w:r>
        <w:rPr>
          <w:color w:val="000000"/>
        </w:rPr>
        <w:t xml:space="preserve"> Outlook Business. https://www.outlookbusiness.com/corporate/mahindra-mahindra-to-enter-life-insurance-sector-in-jv-with-canadas-manulife</w:t>
      </w:r>
    </w:p>
    <w:sectPr>
      <w:headerReference r:id="rId3" w:type="default"/>
      <w:footerReference r:id="rId4" w:type="default"/>
      <w:pgSz w:w="12240" w:h="15840"/>
      <w:pgMar w:top="1080" w:right="1080" w:bottom="1080" w:left="108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Arial">
    <w:panose1 w:val="020B0604020202020204"/>
    <w:charset w:val="86"/>
    <w:family w:val="swiss"/>
    <w:pitch w:val="default"/>
    <w:sig w:usb0="E0002EFF" w:usb1="C000785B" w:usb2="00000009" w:usb3="00000000" w:csb0="400001FF" w:csb1="FFFF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F84DC70">
    <w:pPr>
      <w:pBdr>
        <w:top w:val="single" w:color="2E75B6" w:sz="4" w:space="4"/>
      </w:pBdr>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D410D8D">
    <w:pPr>
      <w:pBdr>
        <w:bottom w:val="single" w:color="2E75B6" w:sz="4" w:space="4"/>
      </w:pBd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displayBackgroundShape w:val="1"/>
  <w:bordersDoNotSurroundHeader w:val="0"/>
  <w:bordersDoNotSurroundFooter w:val="0"/>
  <w:documentProtection w:enforcement="0"/>
  <w:defaultTabStop w:val="720"/>
  <w:displayHorizontalDrawingGridEvery w:val="1"/>
  <w:displayVerticalDrawingGridEvery w:val="1"/>
  <w:noPunctuationKerning w:val="1"/>
  <w:characterSpacingControl w:val="doNotCompress"/>
  <w:compat>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A5317"/>
    <w:rsid w:val="0011727E"/>
    <w:rsid w:val="007A5317"/>
    <w:rsid w:val="00E443E7"/>
    <w:rsid w:val="09381603"/>
    <w:rsid w:val="17EF3567"/>
    <w:rsid w:val="496276A4"/>
    <w:rsid w:val="5F72329D"/>
    <w:rsid w:val="7849218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qFormat="1" w:uiPriority="99" w:name="footnote text"/>
    <w:lsdException w:uiPriority="99" w:name="annotation text"/>
    <w:lsdException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qFormat="1"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Arial" w:hAnsi="Arial" w:eastAsia="Arial" w:cs="Arial"/>
      <w:lang w:val="en-US" w:eastAsia="en-US" w:bidi="ar-SA"/>
    </w:rPr>
  </w:style>
  <w:style w:type="paragraph" w:styleId="2">
    <w:name w:val="heading 1"/>
    <w:qFormat/>
    <w:uiPriority w:val="9"/>
    <w:pPr>
      <w:outlineLvl w:val="0"/>
    </w:pPr>
    <w:rPr>
      <w:rFonts w:ascii="Arial" w:hAnsi="Arial" w:eastAsia="Arial" w:cs="Arial"/>
      <w:color w:val="2E74B5"/>
      <w:sz w:val="32"/>
      <w:szCs w:val="32"/>
      <w:lang w:val="en-US" w:eastAsia="en-US" w:bidi="ar-SA"/>
    </w:rPr>
  </w:style>
  <w:style w:type="paragraph" w:styleId="3">
    <w:name w:val="heading 2"/>
    <w:semiHidden/>
    <w:unhideWhenUsed/>
    <w:qFormat/>
    <w:uiPriority w:val="9"/>
    <w:pPr>
      <w:outlineLvl w:val="1"/>
    </w:pPr>
    <w:rPr>
      <w:rFonts w:ascii="Arial" w:hAnsi="Arial" w:eastAsia="Arial" w:cs="Arial"/>
      <w:color w:val="2E74B5"/>
      <w:sz w:val="26"/>
      <w:szCs w:val="26"/>
      <w:lang w:val="en-US" w:eastAsia="en-US" w:bidi="ar-SA"/>
    </w:rPr>
  </w:style>
  <w:style w:type="paragraph" w:styleId="4">
    <w:name w:val="heading 3"/>
    <w:semiHidden/>
    <w:unhideWhenUsed/>
    <w:qFormat/>
    <w:uiPriority w:val="9"/>
    <w:pPr>
      <w:outlineLvl w:val="2"/>
    </w:pPr>
    <w:rPr>
      <w:rFonts w:ascii="Arial" w:hAnsi="Arial" w:eastAsia="Arial" w:cs="Arial"/>
      <w:color w:val="1F4D78"/>
      <w:sz w:val="24"/>
      <w:szCs w:val="24"/>
      <w:lang w:val="en-US" w:eastAsia="en-US" w:bidi="ar-SA"/>
    </w:rPr>
  </w:style>
  <w:style w:type="paragraph" w:styleId="5">
    <w:name w:val="heading 4"/>
    <w:semiHidden/>
    <w:unhideWhenUsed/>
    <w:qFormat/>
    <w:uiPriority w:val="9"/>
    <w:pPr>
      <w:outlineLvl w:val="3"/>
    </w:pPr>
    <w:rPr>
      <w:rFonts w:ascii="Arial" w:hAnsi="Arial" w:eastAsia="Arial" w:cs="Arial"/>
      <w:i/>
      <w:iCs/>
      <w:color w:val="2E74B5"/>
      <w:lang w:val="en-US" w:eastAsia="en-US" w:bidi="ar-SA"/>
    </w:rPr>
  </w:style>
  <w:style w:type="paragraph" w:styleId="6">
    <w:name w:val="heading 5"/>
    <w:semiHidden/>
    <w:unhideWhenUsed/>
    <w:qFormat/>
    <w:uiPriority w:val="9"/>
    <w:pPr>
      <w:outlineLvl w:val="4"/>
    </w:pPr>
    <w:rPr>
      <w:rFonts w:ascii="Arial" w:hAnsi="Arial" w:eastAsia="Arial" w:cs="Arial"/>
      <w:color w:val="2E74B5"/>
      <w:lang w:val="en-US" w:eastAsia="en-US" w:bidi="ar-SA"/>
    </w:rPr>
  </w:style>
  <w:style w:type="paragraph" w:styleId="7">
    <w:name w:val="heading 6"/>
    <w:semiHidden/>
    <w:unhideWhenUsed/>
    <w:qFormat/>
    <w:uiPriority w:val="9"/>
    <w:pPr>
      <w:outlineLvl w:val="5"/>
    </w:pPr>
    <w:rPr>
      <w:rFonts w:ascii="Arial" w:hAnsi="Arial" w:eastAsia="Arial" w:cs="Arial"/>
      <w:color w:val="1F4D78"/>
      <w:lang w:val="en-US" w:eastAsia="en-US" w:bidi="ar-SA"/>
    </w:rPr>
  </w:style>
  <w:style w:type="character" w:default="1" w:styleId="8">
    <w:name w:val="Default Paragraph Font"/>
    <w:semiHidden/>
    <w:unhideWhenUsed/>
    <w:uiPriority w:val="1"/>
  </w:style>
  <w:style w:type="table" w:default="1" w:styleId="9">
    <w:name w:val="Normal Table"/>
    <w:semiHidden/>
    <w:unhideWhenUsed/>
    <w:uiPriority w:val="99"/>
    <w:tblPr>
      <w:tblCellMar>
        <w:top w:w="0" w:type="dxa"/>
        <w:left w:w="108" w:type="dxa"/>
        <w:bottom w:w="0" w:type="dxa"/>
        <w:right w:w="108" w:type="dxa"/>
      </w:tblCellMar>
    </w:tblPr>
  </w:style>
  <w:style w:type="paragraph" w:styleId="10">
    <w:name w:val="footer"/>
    <w:basedOn w:val="1"/>
    <w:link w:val="20"/>
    <w:unhideWhenUsed/>
    <w:qFormat/>
    <w:uiPriority w:val="99"/>
    <w:pPr>
      <w:tabs>
        <w:tab w:val="center" w:pos="4680"/>
        <w:tab w:val="right" w:pos="9360"/>
      </w:tabs>
    </w:pPr>
  </w:style>
  <w:style w:type="character" w:styleId="11">
    <w:name w:val="footnote reference"/>
    <w:semiHidden/>
    <w:unhideWhenUsed/>
    <w:qFormat/>
    <w:uiPriority w:val="99"/>
    <w:rPr>
      <w:vertAlign w:val="superscript"/>
    </w:rPr>
  </w:style>
  <w:style w:type="paragraph" w:styleId="12">
    <w:name w:val="footnote text"/>
    <w:link w:val="18"/>
    <w:semiHidden/>
    <w:unhideWhenUsed/>
    <w:qFormat/>
    <w:uiPriority w:val="99"/>
    <w:rPr>
      <w:rFonts w:ascii="Arial" w:hAnsi="Arial" w:eastAsia="Arial" w:cs="Arial"/>
      <w:lang w:val="en-US" w:eastAsia="en-US" w:bidi="ar-SA"/>
    </w:rPr>
  </w:style>
  <w:style w:type="paragraph" w:styleId="13">
    <w:name w:val="header"/>
    <w:basedOn w:val="1"/>
    <w:link w:val="19"/>
    <w:unhideWhenUsed/>
    <w:uiPriority w:val="99"/>
    <w:pPr>
      <w:tabs>
        <w:tab w:val="center" w:pos="4680"/>
        <w:tab w:val="right" w:pos="9360"/>
      </w:tabs>
    </w:pPr>
  </w:style>
  <w:style w:type="character" w:styleId="14">
    <w:name w:val="Hyperlink"/>
    <w:unhideWhenUsed/>
    <w:uiPriority w:val="99"/>
    <w:rPr>
      <w:color w:val="0563C1"/>
      <w:u w:val="single"/>
    </w:rPr>
  </w:style>
  <w:style w:type="paragraph" w:styleId="15">
    <w:name w:val="Title"/>
    <w:qFormat/>
    <w:uiPriority w:val="10"/>
    <w:rPr>
      <w:rFonts w:ascii="Arial" w:hAnsi="Arial" w:eastAsia="Arial" w:cs="Arial"/>
      <w:sz w:val="56"/>
      <w:szCs w:val="56"/>
      <w:lang w:val="en-US" w:eastAsia="en-US" w:bidi="ar-SA"/>
    </w:rPr>
  </w:style>
  <w:style w:type="paragraph" w:customStyle="1" w:styleId="16">
    <w:name w:val="Strong1"/>
    <w:qFormat/>
    <w:uiPriority w:val="0"/>
    <w:rPr>
      <w:rFonts w:ascii="Arial" w:hAnsi="Arial" w:eastAsia="Arial" w:cs="Arial"/>
      <w:b/>
      <w:bCs/>
      <w:lang w:val="en-US" w:eastAsia="en-US" w:bidi="ar-SA"/>
    </w:rPr>
  </w:style>
  <w:style w:type="paragraph" w:styleId="17">
    <w:name w:val="List Paragraph"/>
    <w:qFormat/>
    <w:uiPriority w:val="0"/>
    <w:rPr>
      <w:rFonts w:ascii="Arial" w:hAnsi="Arial" w:eastAsia="Arial" w:cs="Arial"/>
      <w:lang w:val="en-US" w:eastAsia="en-US" w:bidi="ar-SA"/>
    </w:rPr>
  </w:style>
  <w:style w:type="character" w:customStyle="1" w:styleId="18">
    <w:name w:val="Footnote Text Char"/>
    <w:link w:val="12"/>
    <w:semiHidden/>
    <w:unhideWhenUsed/>
    <w:qFormat/>
    <w:uiPriority w:val="99"/>
    <w:rPr>
      <w:sz w:val="20"/>
      <w:szCs w:val="20"/>
    </w:rPr>
  </w:style>
  <w:style w:type="character" w:customStyle="1" w:styleId="19">
    <w:name w:val="Header Char"/>
    <w:basedOn w:val="8"/>
    <w:link w:val="13"/>
    <w:qFormat/>
    <w:uiPriority w:val="99"/>
  </w:style>
  <w:style w:type="character" w:customStyle="1" w:styleId="20">
    <w:name w:val="Footer Char"/>
    <w:basedOn w:val="8"/>
    <w:link w:val="10"/>
    <w:uiPriority w:val="99"/>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6</Pages>
  <Words>2808</Words>
  <Characters>16006</Characters>
  <Lines>133</Lines>
  <Paragraphs>37</Paragraphs>
  <TotalTime>144</TotalTime>
  <ScaleCrop>false</ScaleCrop>
  <LinksUpToDate>false</LinksUpToDate>
  <CharactersWithSpaces>18777</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2026-03-04T03:17:00Z</dcterms:created>
  <dc:creator>Un-named</dc:creator>
  <cp:lastModifiedBy>Jtingting Zhan</cp:lastModifiedBy>
  <dcterms:modified xsi:type="dcterms:W3CDTF">2026-03-05T05:10:18Z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07B0D5E4A9154CCFA86557011C8BA34E_13</vt:lpwstr>
  </property>
</Properties>
</file>