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Fernán Caballero,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41927 Mairena del Aljarafe (Sevilla)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675192494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rtl w:val="0"/>
        </w:rPr>
        <w:t xml:space="preserve">isabelgr1978@hotmail.com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Isabel García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TRABAJADORA,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con gran capacidad de aprendizaje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Adaptación y trabajo en equipo.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EXPERIENCIA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MATER ET MAGISTRA,Mairena del Aljarafe </w:t>
      </w:r>
      <w:r w:rsidDel="00000000" w:rsidR="00000000" w:rsidRPr="00000000">
        <w:rPr>
          <w:color w:val="000000"/>
          <w:rtl w:val="0"/>
        </w:rPr>
        <w:t xml:space="preserve">- cuidadora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Septiembre 2020-noviembre 2020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Aseo a los residentes.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Amparo de la seguridad de los residentes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Alimentación debemos residentes.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3899z7la4t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666666"/>
        </w:rPr>
      </w:pPr>
      <w:bookmarkStart w:colFirst="0" w:colLast="0" w:name="_lkn8wt69gido" w:id="9"/>
      <w:bookmarkEnd w:id="9"/>
      <w:r w:rsidDel="00000000" w:rsidR="00000000" w:rsidRPr="00000000">
        <w:rPr>
          <w:rtl w:val="0"/>
        </w:rPr>
        <w:t xml:space="preserve">MATER ET MAGISTRA,Mairena del Aljarafe </w:t>
      </w:r>
      <w:r w:rsidDel="00000000" w:rsidR="00000000" w:rsidRPr="00000000">
        <w:rPr>
          <w:color w:val="000000"/>
          <w:rtl w:val="0"/>
        </w:rPr>
        <w:t xml:space="preserve">- </w:t>
      </w:r>
      <w:r w:rsidDel="00000000" w:rsidR="00000000" w:rsidRPr="00000000">
        <w:rPr>
          <w:color w:val="ffffff"/>
          <w:rtl w:val="0"/>
        </w:rPr>
        <w:t xml:space="preserve">l</w:t>
      </w:r>
      <w:r w:rsidDel="00000000" w:rsidR="00000000" w:rsidRPr="00000000">
        <w:rPr>
          <w:color w:val="666666"/>
          <w:rtl w:val="0"/>
        </w:rPr>
        <w:t xml:space="preserve">limpiadora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Julio de 2020-septiembre de 2020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Limpieza y desinfección de habitaciones de los residentes.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Limpieza y desinfección de cuarto de baños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Lavandería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Limpieza utensilio de cocina.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c2hlnv9wntf2" w:id="10"/>
      <w:bookmarkEnd w:id="10"/>
      <w:r w:rsidDel="00000000" w:rsidR="00000000" w:rsidRPr="00000000">
        <w:rPr>
          <w:rtl w:val="0"/>
        </w:rPr>
        <w:t xml:space="preserve">DIA, sevilla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cajera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Marzo de 2008- Julio de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Atención al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Facturación y cobro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Organización y limpieza en cabeceras,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y línea de caja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11"/>
      <w:bookmarkEnd w:id="11"/>
      <w:r w:rsidDel="00000000" w:rsidR="00000000" w:rsidRPr="00000000">
        <w:rPr>
          <w:rtl w:val="0"/>
        </w:rPr>
        <w:t xml:space="preserve">Carrefour,sevilla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envasadora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Noviembre de 2001-abril de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Corte industrial de productos de chacina.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Colocación en sobre de envasadora.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bookmarkStart w:colFirst="0" w:colLast="0" w:name="_7s9nw27jfle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13"/>
      <w:bookmarkEnd w:id="13"/>
      <w:r w:rsidDel="00000000" w:rsidR="00000000" w:rsidRPr="00000000">
        <w:rPr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14"/>
      <w:bookmarkEnd w:id="14"/>
      <w:r w:rsidDel="00000000" w:rsidR="00000000" w:rsidRPr="00000000">
        <w:rPr>
          <w:rtl w:val="0"/>
        </w:rPr>
        <w:t xml:space="preserve">Federico Mayor Zaragoza,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Auxiliar de enfermería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Septiembre de 1998-febrero de 2000, sevilla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Cuidados, aseo personal, ayuda, acompañamiento a personas necesitadas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5"/>
      <w:bookmarkEnd w:id="15"/>
      <w:r w:rsidDel="00000000" w:rsidR="00000000" w:rsidRPr="00000000">
        <w:rPr>
          <w:rtl w:val="0"/>
        </w:rPr>
        <w:t xml:space="preserve">LOGROS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Aptitud disposición y ganas de aprender. 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