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9FEA7" w14:textId="77777777" w:rsidR="00923BAA" w:rsidRDefault="00000000">
      <w:pPr>
        <w:spacing w:before="360" w:after="100"/>
        <w:jc w:val="center"/>
      </w:pPr>
      <w:r>
        <w:rPr>
          <w:b/>
          <w:bCs/>
          <w:color w:val="1F3864"/>
          <w:sz w:val="48"/>
          <w:szCs w:val="48"/>
        </w:rPr>
        <w:t>Online Retail Purchase Patterns</w:t>
      </w:r>
    </w:p>
    <w:p w14:paraId="069B0D8F" w14:textId="77777777" w:rsidR="00923BAA" w:rsidRDefault="00000000">
      <w:pPr>
        <w:spacing w:after="60"/>
        <w:jc w:val="center"/>
      </w:pPr>
      <w:r>
        <w:rPr>
          <w:color w:val="2E75B6"/>
          <w:sz w:val="30"/>
          <w:szCs w:val="30"/>
        </w:rPr>
        <w:t xml:space="preserve">Market Basket Analysis using the </w:t>
      </w:r>
      <w:proofErr w:type="spellStart"/>
      <w:r>
        <w:rPr>
          <w:color w:val="2E75B6"/>
          <w:sz w:val="30"/>
          <w:szCs w:val="30"/>
        </w:rPr>
        <w:t>Apriori</w:t>
      </w:r>
      <w:proofErr w:type="spellEnd"/>
      <w:r>
        <w:rPr>
          <w:color w:val="2E75B6"/>
          <w:sz w:val="30"/>
          <w:szCs w:val="30"/>
        </w:rPr>
        <w:t xml:space="preserve"> Algorithm</w:t>
      </w:r>
    </w:p>
    <w:p w14:paraId="0563E5F8" w14:textId="77777777" w:rsidR="00923BAA" w:rsidRDefault="00000000">
      <w:pPr>
        <w:spacing w:after="360"/>
        <w:jc w:val="center"/>
      </w:pPr>
      <w:r>
        <w:rPr>
          <w:i/>
          <w:iCs/>
          <w:color w:val="888888"/>
          <w:sz w:val="20"/>
          <w:szCs w:val="20"/>
        </w:rPr>
        <w:t>24 March 2026</w:t>
      </w:r>
    </w:p>
    <w:p w14:paraId="647A055A" w14:textId="77777777" w:rsidR="00923BAA" w:rsidRDefault="00923BAA">
      <w:pPr>
        <w:pBdr>
          <w:bottom w:val="single" w:sz="8" w:space="2" w:color="2E75B6"/>
        </w:pBdr>
        <w:spacing w:after="300"/>
      </w:pPr>
    </w:p>
    <w:p w14:paraId="382C389E" w14:textId="48CF2F76" w:rsidR="00923BAA" w:rsidRDefault="00000000">
      <w:pPr>
        <w:pStyle w:val="Heading1"/>
        <w:pBdr>
          <w:bottom w:val="single" w:sz="4" w:space="3" w:color="2E75B6"/>
        </w:pBdr>
      </w:pPr>
      <w:r>
        <w:t>Executive Summary</w:t>
      </w:r>
    </w:p>
    <w:p w14:paraId="1384E6F5" w14:textId="77777777" w:rsidR="00923BAA" w:rsidRDefault="00000000">
      <w:pPr>
        <w:spacing w:before="60" w:after="60"/>
        <w:jc w:val="both"/>
      </w:pPr>
      <w:r>
        <w:t xml:space="preserve">This report presents findings from a Market Basket Analysis of an online retail transaction </w:t>
      </w:r>
      <w:proofErr w:type="gramStart"/>
      <w:r>
        <w:t>dataset</w:t>
      </w:r>
      <w:proofErr w:type="gramEnd"/>
      <w:r>
        <w:t xml:space="preserve"> using the </w:t>
      </w:r>
      <w:proofErr w:type="spellStart"/>
      <w:r>
        <w:t>Apriori</w:t>
      </w:r>
      <w:proofErr w:type="spellEnd"/>
      <w:r>
        <w:t xml:space="preserve"> algorithm. The goal was to identify frequent product combinations and extract actionable insights for cross-selling, bundling, and recommendation strategies. The analysis produced 20 association rules organized into five distinct product clusters, evaluated using Support, Confidence, and Lift.</w:t>
      </w:r>
    </w:p>
    <w:p w14:paraId="6C9D0B82" w14:textId="4F5CAB4A" w:rsidR="00923BAA" w:rsidRDefault="00000000">
      <w:pPr>
        <w:pStyle w:val="Heading1"/>
        <w:pBdr>
          <w:bottom w:val="single" w:sz="4" w:space="3" w:color="2E75B6"/>
        </w:pBdr>
      </w:pPr>
      <w:r>
        <w:t>Dataset &amp; Methodology</w:t>
      </w:r>
    </w:p>
    <w:p w14:paraId="5FCF7781" w14:textId="77777777" w:rsidR="00923BAA" w:rsidRDefault="00000000">
      <w:pPr>
        <w:spacing w:before="60" w:after="60"/>
        <w:jc w:val="both"/>
      </w:pPr>
      <w:r>
        <w:t xml:space="preserve">The dataset contains online retail transactions with attributes including Transaction ID, Product Name, Quantity, Date, Unit Price, Customer ID, and Country. Preprocessing removed missing values, cancelled orders (invoices prefixed 'C'), duplicate records, and non-positive quantities. Transactions were grouped by </w:t>
      </w:r>
      <w:proofErr w:type="spellStart"/>
      <w:r>
        <w:t>InvoiceNo</w:t>
      </w:r>
      <w:proofErr w:type="spellEnd"/>
      <w:r>
        <w:t xml:space="preserve"> and converted into a sparse binary matrix for use with R's </w:t>
      </w:r>
      <w:proofErr w:type="spellStart"/>
      <w:r>
        <w:t>arules</w:t>
      </w:r>
      <w:proofErr w:type="spellEnd"/>
      <w:r>
        <w:t xml:space="preserve"> package.</w:t>
      </w:r>
    </w:p>
    <w:p w14:paraId="352884AD" w14:textId="77777777" w:rsidR="00923BAA" w:rsidRDefault="00923BA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923BAA" w14:paraId="0B8BC35D"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6E76C181" w14:textId="77777777" w:rsidR="00923BAA" w:rsidRDefault="00000000">
            <w:pPr>
              <w:jc w:val="center"/>
            </w:pPr>
            <w:r>
              <w:rPr>
                <w:b/>
                <w:bCs/>
                <w:color w:val="FFFFFF"/>
              </w:rPr>
              <w:t>Parameter</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5CEA57D7" w14:textId="77777777" w:rsidR="00923BAA" w:rsidRDefault="00000000">
            <w:pPr>
              <w:jc w:val="center"/>
            </w:pPr>
            <w:r>
              <w:rPr>
                <w:b/>
                <w:bCs/>
                <w:color w:val="FFFFFF"/>
              </w:rPr>
              <w:t>Value</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2538B530" w14:textId="77777777" w:rsidR="00923BAA" w:rsidRDefault="00000000">
            <w:pPr>
              <w:jc w:val="center"/>
            </w:pPr>
            <w:r>
              <w:rPr>
                <w:b/>
                <w:bCs/>
                <w:color w:val="FFFFFF"/>
              </w:rPr>
              <w:t>Purpose</w:t>
            </w:r>
          </w:p>
        </w:tc>
      </w:tr>
      <w:tr w:rsidR="00923BAA" w14:paraId="0C4288C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10" w:type="dxa"/>
              <w:bottom w:w="70" w:type="dxa"/>
              <w:right w:w="110" w:type="dxa"/>
            </w:tcMar>
          </w:tcPr>
          <w:p w14:paraId="0BD280DC" w14:textId="77777777" w:rsidR="00923BAA" w:rsidRDefault="00000000">
            <w:pPr>
              <w:jc w:val="center"/>
            </w:pPr>
            <w:r>
              <w:rPr>
                <w:color w:val="000000"/>
                <w:sz w:val="20"/>
                <w:szCs w:val="20"/>
              </w:rPr>
              <w:t>Minimum Support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5A622A2" w14:textId="77777777" w:rsidR="00923BAA" w:rsidRDefault="00000000">
            <w:pPr>
              <w:jc w:val="center"/>
            </w:pPr>
            <w:r>
              <w:rPr>
                <w:color w:val="000000"/>
                <w:sz w:val="20"/>
                <w:szCs w:val="20"/>
              </w:rPr>
              <w:t>0.01 (1%)</w:t>
            </w:r>
          </w:p>
        </w:tc>
        <w:tc>
          <w:tcPr>
            <w:tcW w:w="456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10" w:type="dxa"/>
              <w:bottom w:w="70" w:type="dxa"/>
              <w:right w:w="110" w:type="dxa"/>
            </w:tcMar>
          </w:tcPr>
          <w:p w14:paraId="718B68DB" w14:textId="77777777" w:rsidR="00923BAA" w:rsidRDefault="00000000">
            <w:pPr>
              <w:jc w:val="center"/>
            </w:pPr>
            <w:r>
              <w:rPr>
                <w:color w:val="000000"/>
                <w:sz w:val="20"/>
                <w:szCs w:val="20"/>
              </w:rPr>
              <w:t>Item pair must appear in ≥1% of all transactions</w:t>
            </w:r>
          </w:p>
        </w:tc>
      </w:tr>
      <w:tr w:rsidR="00923BAA" w14:paraId="6FD812E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10" w:type="dxa"/>
              <w:bottom w:w="70" w:type="dxa"/>
              <w:right w:w="110" w:type="dxa"/>
            </w:tcMar>
          </w:tcPr>
          <w:p w14:paraId="6F851CDE" w14:textId="77777777" w:rsidR="00923BAA" w:rsidRDefault="00000000">
            <w:pPr>
              <w:jc w:val="center"/>
            </w:pPr>
            <w:r>
              <w:rPr>
                <w:color w:val="000000"/>
                <w:sz w:val="20"/>
                <w:szCs w:val="20"/>
              </w:rPr>
              <w:t>Minimum Confidence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0B158CC" w14:textId="77777777" w:rsidR="00923BAA" w:rsidRDefault="00000000">
            <w:pPr>
              <w:jc w:val="center"/>
            </w:pPr>
            <w:r>
              <w:rPr>
                <w:color w:val="000000"/>
                <w:sz w:val="20"/>
                <w:szCs w:val="20"/>
              </w:rPr>
              <w:t>0.50 (50%)</w:t>
            </w:r>
          </w:p>
        </w:tc>
        <w:tc>
          <w:tcPr>
            <w:tcW w:w="456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10" w:type="dxa"/>
              <w:bottom w:w="70" w:type="dxa"/>
              <w:right w:w="110" w:type="dxa"/>
            </w:tcMar>
          </w:tcPr>
          <w:p w14:paraId="0EA87689" w14:textId="77777777" w:rsidR="00923BAA" w:rsidRDefault="00000000">
            <w:pPr>
              <w:jc w:val="center"/>
            </w:pPr>
            <w:r>
              <w:rPr>
                <w:color w:val="000000"/>
                <w:sz w:val="20"/>
                <w:szCs w:val="20"/>
              </w:rPr>
              <w:t>Consequent bought in ≥50% of antecedent purchases</w:t>
            </w:r>
          </w:p>
        </w:tc>
      </w:tr>
      <w:tr w:rsidR="00923BAA" w14:paraId="4C282BA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10" w:type="dxa"/>
              <w:bottom w:w="70" w:type="dxa"/>
              <w:right w:w="110" w:type="dxa"/>
            </w:tcMar>
          </w:tcPr>
          <w:p w14:paraId="4F59028D" w14:textId="77777777" w:rsidR="00923BAA" w:rsidRDefault="00000000">
            <w:pPr>
              <w:jc w:val="center"/>
            </w:pPr>
            <w:r>
              <w:rPr>
                <w:color w:val="000000"/>
                <w:sz w:val="20"/>
                <w:szCs w:val="20"/>
              </w:rPr>
              <w:t>Minimum Rule Length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4C3B9B6" w14:textId="77777777" w:rsidR="00923BAA" w:rsidRDefault="00000000">
            <w:pPr>
              <w:jc w:val="center"/>
            </w:pPr>
            <w:r>
              <w:rPr>
                <w:color w:val="000000"/>
                <w:sz w:val="20"/>
                <w:szCs w:val="20"/>
              </w:rPr>
              <w:t>2</w:t>
            </w:r>
          </w:p>
        </w:tc>
        <w:tc>
          <w:tcPr>
            <w:tcW w:w="456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10" w:type="dxa"/>
              <w:bottom w:w="70" w:type="dxa"/>
              <w:right w:w="110" w:type="dxa"/>
            </w:tcMar>
          </w:tcPr>
          <w:p w14:paraId="03B83078" w14:textId="77777777" w:rsidR="00923BAA" w:rsidRDefault="00000000">
            <w:pPr>
              <w:jc w:val="center"/>
            </w:pPr>
            <w:r>
              <w:rPr>
                <w:color w:val="000000"/>
                <w:sz w:val="20"/>
                <w:szCs w:val="20"/>
              </w:rPr>
              <w:t>Rules must involve at least two distinct products</w:t>
            </w:r>
          </w:p>
        </w:tc>
      </w:tr>
    </w:tbl>
    <w:p w14:paraId="3C1FB17C" w14:textId="77777777" w:rsidR="00923BAA" w:rsidRDefault="00923BAA">
      <w:pPr>
        <w:spacing w:before="80" w:after="80"/>
      </w:pPr>
    </w:p>
    <w:p w14:paraId="26E8B9A4" w14:textId="77777777" w:rsidR="00923BAA" w:rsidRDefault="00000000">
      <w:pPr>
        <w:spacing w:before="60" w:after="60"/>
        <w:jc w:val="both"/>
      </w:pPr>
      <w:r>
        <w:t>Rules were sorted by Lift — the ratio of observed to expected co-occurrence — to surface the strongest associations. Lift &gt; 1 indicates a positive association; higher values signal more statistically meaningful pairings.</w:t>
      </w:r>
    </w:p>
    <w:p w14:paraId="7EBEAABA" w14:textId="77777777" w:rsidR="00C35048" w:rsidRDefault="00C35048">
      <w:pPr>
        <w:pStyle w:val="Heading1"/>
        <w:pBdr>
          <w:bottom w:val="single" w:sz="4" w:space="3" w:color="2E75B6"/>
        </w:pBdr>
      </w:pPr>
    </w:p>
    <w:p w14:paraId="28139217" w14:textId="77777777" w:rsidR="00C35048" w:rsidRDefault="00C35048">
      <w:pPr>
        <w:pStyle w:val="Heading1"/>
        <w:pBdr>
          <w:bottom w:val="single" w:sz="4" w:space="3" w:color="2E75B6"/>
        </w:pBdr>
      </w:pPr>
    </w:p>
    <w:p w14:paraId="2E95C5B5" w14:textId="77777777" w:rsidR="00C35048" w:rsidRDefault="00C35048">
      <w:pPr>
        <w:pStyle w:val="Heading1"/>
        <w:pBdr>
          <w:bottom w:val="single" w:sz="4" w:space="3" w:color="2E75B6"/>
        </w:pBdr>
      </w:pPr>
    </w:p>
    <w:p w14:paraId="052CA2FC" w14:textId="77777777" w:rsidR="00C35048" w:rsidRDefault="00C35048">
      <w:pPr>
        <w:pStyle w:val="Heading1"/>
        <w:pBdr>
          <w:bottom w:val="single" w:sz="4" w:space="3" w:color="2E75B6"/>
        </w:pBdr>
      </w:pPr>
    </w:p>
    <w:p w14:paraId="5D5B91B6" w14:textId="77777777" w:rsidR="00C35048" w:rsidRDefault="00C35048">
      <w:pPr>
        <w:pStyle w:val="Heading1"/>
        <w:pBdr>
          <w:bottom w:val="single" w:sz="4" w:space="3" w:color="2E75B6"/>
        </w:pBdr>
      </w:pPr>
    </w:p>
    <w:p w14:paraId="03D4DEBB" w14:textId="77777777" w:rsidR="00C35048" w:rsidRDefault="00C35048">
      <w:pPr>
        <w:pStyle w:val="Heading1"/>
        <w:pBdr>
          <w:bottom w:val="single" w:sz="4" w:space="3" w:color="2E75B6"/>
        </w:pBdr>
      </w:pPr>
    </w:p>
    <w:p w14:paraId="49268904" w14:textId="31242587" w:rsidR="00923BAA" w:rsidRDefault="00000000">
      <w:pPr>
        <w:pStyle w:val="Heading1"/>
        <w:pBdr>
          <w:bottom w:val="single" w:sz="4" w:space="3" w:color="2E75B6"/>
        </w:pBdr>
      </w:pPr>
      <w:r>
        <w:lastRenderedPageBreak/>
        <w:t>Exploratory Data Analysis</w:t>
      </w:r>
    </w:p>
    <w:p w14:paraId="66634062" w14:textId="77777777" w:rsidR="00923BAA" w:rsidRDefault="00000000">
      <w:pPr>
        <w:spacing w:before="120" w:after="60"/>
        <w:jc w:val="center"/>
      </w:pPr>
      <w:r>
        <w:rPr>
          <w:noProof/>
        </w:rPr>
        <w:drawing>
          <wp:inline distT="0" distB="0" distL="0" distR="0" wp14:anchorId="2D9588D4" wp14:editId="5CAEE73C">
            <wp:extent cx="5238750" cy="3667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238750" cy="3667125"/>
                    </a:xfrm>
                    <a:prstGeom prst="rect">
                      <a:avLst/>
                    </a:prstGeom>
                  </pic:spPr>
                </pic:pic>
              </a:graphicData>
            </a:graphic>
          </wp:inline>
        </w:drawing>
      </w:r>
    </w:p>
    <w:p w14:paraId="08A9D8F4" w14:textId="77777777" w:rsidR="00923BAA" w:rsidRDefault="00000000">
      <w:pPr>
        <w:spacing w:after="160"/>
        <w:jc w:val="center"/>
      </w:pPr>
      <w:r>
        <w:rPr>
          <w:i/>
          <w:iCs/>
          <w:color w:val="666666"/>
          <w:sz w:val="17"/>
          <w:szCs w:val="17"/>
        </w:rPr>
        <w:t>Figure 1: Top 15 Most Frequently Purchased Products (Absolute Frequency)</w:t>
      </w:r>
    </w:p>
    <w:p w14:paraId="76F4CAF3" w14:textId="77777777" w:rsidR="00923BAA" w:rsidRDefault="00000000">
      <w:pPr>
        <w:spacing w:before="60" w:after="60"/>
        <w:jc w:val="both"/>
      </w:pPr>
      <w:r>
        <w:t>The top 15 chart reveals three dominant product clusters: home décor (HEART T-LIGHT HOLDER leading at ~1,800 transactions), kitchenware and storage (REGENCY CAKESTAND, JUMBO BAG RED RETROSPOT), and accessories (multiple lunch bag variants). The narrow frequency range across the top 15 (~900–1,800) suggests broad purchasing distribution rather than extreme concentration. Note: POSTAGE appears in the list, indicating shipping charges were recorded as product line items — these should be excluded in future preprocessing passes.</w:t>
      </w:r>
    </w:p>
    <w:p w14:paraId="4D39E8B1" w14:textId="77777777" w:rsidR="00C35048" w:rsidRDefault="00C35048">
      <w:pPr>
        <w:pStyle w:val="Heading1"/>
        <w:pBdr>
          <w:bottom w:val="single" w:sz="4" w:space="3" w:color="2E75B6"/>
        </w:pBdr>
      </w:pPr>
    </w:p>
    <w:p w14:paraId="4AFAA347" w14:textId="77777777" w:rsidR="00C35048" w:rsidRDefault="00C35048">
      <w:pPr>
        <w:pStyle w:val="Heading1"/>
        <w:pBdr>
          <w:bottom w:val="single" w:sz="4" w:space="3" w:color="2E75B6"/>
        </w:pBdr>
      </w:pPr>
    </w:p>
    <w:p w14:paraId="73E9AD34" w14:textId="77777777" w:rsidR="00C35048" w:rsidRDefault="00C35048">
      <w:pPr>
        <w:pStyle w:val="Heading1"/>
        <w:pBdr>
          <w:bottom w:val="single" w:sz="4" w:space="3" w:color="2E75B6"/>
        </w:pBdr>
      </w:pPr>
    </w:p>
    <w:p w14:paraId="210EE89C" w14:textId="77777777" w:rsidR="00C35048" w:rsidRDefault="00C35048">
      <w:pPr>
        <w:pStyle w:val="Heading1"/>
        <w:pBdr>
          <w:bottom w:val="single" w:sz="4" w:space="3" w:color="2E75B6"/>
        </w:pBdr>
      </w:pPr>
    </w:p>
    <w:p w14:paraId="62DC700C" w14:textId="77777777" w:rsidR="00C35048" w:rsidRDefault="00C35048">
      <w:pPr>
        <w:pStyle w:val="Heading1"/>
        <w:pBdr>
          <w:bottom w:val="single" w:sz="4" w:space="3" w:color="2E75B6"/>
        </w:pBdr>
      </w:pPr>
    </w:p>
    <w:p w14:paraId="0EE4D99E" w14:textId="77777777" w:rsidR="00C35048" w:rsidRDefault="00C35048">
      <w:pPr>
        <w:pStyle w:val="Heading1"/>
        <w:pBdr>
          <w:bottom w:val="single" w:sz="4" w:space="3" w:color="2E75B6"/>
        </w:pBdr>
      </w:pPr>
    </w:p>
    <w:p w14:paraId="6C68AE72" w14:textId="77777777" w:rsidR="00C35048" w:rsidRDefault="00C35048">
      <w:pPr>
        <w:pStyle w:val="Heading1"/>
        <w:pBdr>
          <w:bottom w:val="single" w:sz="4" w:space="3" w:color="2E75B6"/>
        </w:pBdr>
      </w:pPr>
    </w:p>
    <w:p w14:paraId="25217AC9" w14:textId="77777777" w:rsidR="00C35048" w:rsidRDefault="00C35048">
      <w:pPr>
        <w:pStyle w:val="Heading1"/>
        <w:pBdr>
          <w:bottom w:val="single" w:sz="4" w:space="3" w:color="2E75B6"/>
        </w:pBdr>
      </w:pPr>
    </w:p>
    <w:p w14:paraId="281AC2F7" w14:textId="52C0783F" w:rsidR="00923BAA" w:rsidRDefault="00000000">
      <w:pPr>
        <w:pStyle w:val="Heading1"/>
        <w:pBdr>
          <w:bottom w:val="single" w:sz="4" w:space="3" w:color="2E75B6"/>
        </w:pBdr>
      </w:pPr>
      <w:r>
        <w:lastRenderedPageBreak/>
        <w:t>Association Rule Network Graph Analysis</w:t>
      </w:r>
    </w:p>
    <w:p w14:paraId="25B64CC8" w14:textId="77777777" w:rsidR="00923BAA" w:rsidRDefault="00000000">
      <w:pPr>
        <w:spacing w:before="60" w:after="60"/>
        <w:jc w:val="both"/>
      </w:pPr>
      <w:r>
        <w:t xml:space="preserve">The </w:t>
      </w:r>
      <w:proofErr w:type="spellStart"/>
      <w:r>
        <w:t>Apriori</w:t>
      </w:r>
      <w:proofErr w:type="spellEnd"/>
      <w:r>
        <w:t xml:space="preserve"> algorithm generated 20 association rules visualized as five network graphs. Blue rectangles represent products; pink circles represent rules. Deeper red </w:t>
      </w:r>
      <w:proofErr w:type="spellStart"/>
      <w:r>
        <w:t>colouring</w:t>
      </w:r>
      <w:proofErr w:type="spellEnd"/>
      <w:r>
        <w:t xml:space="preserve"> indicates higher Lift. All five clusters exhibit bidirectional rules — meaning neither product in a pair consistently leads the other — confirming that both items deserve equal prominence in recommendations and placement.</w:t>
      </w:r>
    </w:p>
    <w:p w14:paraId="5DAC6055" w14:textId="77777777" w:rsidR="00923BAA" w:rsidRDefault="00000000">
      <w:pPr>
        <w:pStyle w:val="Heading2"/>
      </w:pPr>
      <w:proofErr w:type="gramStart"/>
      <w:r>
        <w:t>4.1  Regency</w:t>
      </w:r>
      <w:proofErr w:type="gramEnd"/>
      <w:r>
        <w:t xml:space="preserve"> Tea Plate </w:t>
      </w:r>
      <w:proofErr w:type="gramStart"/>
      <w:r>
        <w:t>Cluster  (</w:t>
      </w:r>
      <w:proofErr w:type="gramEnd"/>
      <w:r>
        <w:t>Rules 1, 2, 7, 8, 10, 11)</w:t>
      </w:r>
    </w:p>
    <w:p w14:paraId="38F88840" w14:textId="77777777" w:rsidR="00923BAA" w:rsidRDefault="00000000">
      <w:pPr>
        <w:spacing w:before="120" w:after="60"/>
        <w:jc w:val="center"/>
      </w:pPr>
      <w:r>
        <w:rPr>
          <w:noProof/>
        </w:rPr>
        <w:drawing>
          <wp:inline distT="0" distB="0" distL="0" distR="0" wp14:anchorId="3CE9C7CE" wp14:editId="6FA30FF6">
            <wp:extent cx="4572000" cy="3095625"/>
            <wp:effectExtent l="0" t="0" r="0" b="0"/>
            <wp:docPr id="1034056965" name="Picture 1034056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3095625"/>
                    </a:xfrm>
                    <a:prstGeom prst="rect">
                      <a:avLst/>
                    </a:prstGeom>
                  </pic:spPr>
                </pic:pic>
              </a:graphicData>
            </a:graphic>
          </wp:inline>
        </w:drawing>
      </w:r>
    </w:p>
    <w:p w14:paraId="318FE441" w14:textId="77777777" w:rsidR="00923BAA" w:rsidRDefault="00000000">
      <w:pPr>
        <w:spacing w:after="160"/>
        <w:jc w:val="center"/>
      </w:pPr>
      <w:r>
        <w:rPr>
          <w:i/>
          <w:iCs/>
          <w:color w:val="666666"/>
          <w:sz w:val="17"/>
          <w:szCs w:val="17"/>
        </w:rPr>
        <w:t>Figure 2: Regency Tea Plate Cluster — GREEN, PINK, ROSES</w:t>
      </w:r>
    </w:p>
    <w:p w14:paraId="783465C1" w14:textId="77777777" w:rsidR="00923BAA" w:rsidRDefault="00000000">
      <w:pPr>
        <w:spacing w:before="60" w:after="60"/>
        <w:jc w:val="both"/>
      </w:pPr>
      <w:r>
        <w:t>The strongest cluster in the dataset. Rules 1 &amp; 2 (darkest red, highest Lift) capture a bidirectional association between REGENCY TEA PLATE GREEN and PINK. Rules 7–11 extend this to ROSES, forming a triangular relationship across all three variants — a clear set-buying pattern.</w:t>
      </w:r>
    </w:p>
    <w:p w14:paraId="0D309CA5" w14:textId="77777777" w:rsidR="00923BAA" w:rsidRDefault="00923BA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BAA" w14:paraId="47A89823" w14:textId="77777777">
        <w:tblPrEx>
          <w:tblCellMar>
            <w:top w:w="0" w:type="dxa"/>
            <w:bottom w:w="0" w:type="dxa"/>
          </w:tblCellMar>
        </w:tblPrEx>
        <w:tc>
          <w:tcPr>
            <w:tcW w:w="0" w:type="auto"/>
            <w:tcBorders>
              <w:top w:val="single" w:sz="4" w:space="0" w:color="2E75B6"/>
              <w:left w:val="single" w:sz="18" w:space="0" w:color="2E75B6"/>
              <w:bottom w:val="single" w:sz="2" w:space="0" w:color="2E75B6"/>
              <w:right w:val="none" w:sz="0" w:space="0" w:color="FFFFFF"/>
            </w:tcBorders>
            <w:shd w:val="clear" w:color="auto" w:fill="EEF3FB"/>
            <w:tcMar>
              <w:top w:w="90" w:type="dxa"/>
              <w:left w:w="180" w:type="dxa"/>
              <w:bottom w:w="90" w:type="dxa"/>
              <w:right w:w="180" w:type="dxa"/>
            </w:tcMar>
          </w:tcPr>
          <w:p w14:paraId="1CF61F6A" w14:textId="77777777" w:rsidR="00923BAA" w:rsidRDefault="00000000">
            <w:pPr>
              <w:spacing w:after="50"/>
            </w:pPr>
            <w:r>
              <w:rPr>
                <w:b/>
                <w:bCs/>
                <w:color w:val="1F3864"/>
              </w:rPr>
              <w:t>Business Insight</w:t>
            </w:r>
          </w:p>
          <w:p w14:paraId="291FE533" w14:textId="77777777" w:rsidR="00923BAA" w:rsidRDefault="00000000">
            <w:pPr>
              <w:jc w:val="both"/>
            </w:pPr>
            <w:r>
              <w:rPr>
                <w:color w:val="333333"/>
                <w:sz w:val="20"/>
                <w:szCs w:val="20"/>
              </w:rPr>
              <w:t xml:space="preserve">Bundle all three Regency Tea Plate variants as a 'Collection Set'. Surface all three whenever </w:t>
            </w:r>
            <w:proofErr w:type="spellStart"/>
            <w:r>
              <w:rPr>
                <w:color w:val="333333"/>
                <w:sz w:val="20"/>
                <w:szCs w:val="20"/>
              </w:rPr>
              <w:t>any one</w:t>
            </w:r>
            <w:proofErr w:type="spellEnd"/>
            <w:r>
              <w:rPr>
                <w:color w:val="333333"/>
                <w:sz w:val="20"/>
                <w:szCs w:val="20"/>
              </w:rPr>
              <w:t xml:space="preserve"> is added to cart. Highest-priority cluster for recommendation engine implementation.</w:t>
            </w:r>
          </w:p>
        </w:tc>
      </w:tr>
    </w:tbl>
    <w:p w14:paraId="3B5FB4D9" w14:textId="77777777" w:rsidR="00C35048" w:rsidRDefault="00C35048">
      <w:pPr>
        <w:pStyle w:val="Heading2"/>
      </w:pPr>
    </w:p>
    <w:p w14:paraId="4A16A137" w14:textId="77777777" w:rsidR="00C35048" w:rsidRDefault="00C35048">
      <w:pPr>
        <w:pStyle w:val="Heading2"/>
      </w:pPr>
    </w:p>
    <w:p w14:paraId="12657386" w14:textId="77777777" w:rsidR="00C35048" w:rsidRDefault="00C35048">
      <w:pPr>
        <w:pStyle w:val="Heading2"/>
      </w:pPr>
    </w:p>
    <w:p w14:paraId="7BB7BAFB" w14:textId="77777777" w:rsidR="00C35048" w:rsidRDefault="00C35048">
      <w:pPr>
        <w:pStyle w:val="Heading2"/>
      </w:pPr>
    </w:p>
    <w:p w14:paraId="0AF5B672" w14:textId="77777777" w:rsidR="00C35048" w:rsidRDefault="00C35048">
      <w:pPr>
        <w:pStyle w:val="Heading2"/>
      </w:pPr>
    </w:p>
    <w:p w14:paraId="2D7624F1" w14:textId="77777777" w:rsidR="00C35048" w:rsidRDefault="00C35048">
      <w:pPr>
        <w:pStyle w:val="Heading2"/>
      </w:pPr>
    </w:p>
    <w:p w14:paraId="034556C7" w14:textId="77777777" w:rsidR="00C35048" w:rsidRDefault="00C35048">
      <w:pPr>
        <w:pStyle w:val="Heading2"/>
      </w:pPr>
    </w:p>
    <w:p w14:paraId="337A6310" w14:textId="77777777" w:rsidR="00C35048" w:rsidRDefault="00C35048">
      <w:pPr>
        <w:pStyle w:val="Heading2"/>
      </w:pPr>
    </w:p>
    <w:p w14:paraId="29E162EA" w14:textId="79373227" w:rsidR="00923BAA" w:rsidRDefault="00000000">
      <w:pPr>
        <w:pStyle w:val="Heading2"/>
      </w:pPr>
      <w:proofErr w:type="gramStart"/>
      <w:r>
        <w:lastRenderedPageBreak/>
        <w:t>4.2  Regency</w:t>
      </w:r>
      <w:proofErr w:type="gramEnd"/>
      <w:r>
        <w:t xml:space="preserve"> Kitchenware </w:t>
      </w:r>
      <w:proofErr w:type="gramStart"/>
      <w:r>
        <w:t>Cluster  (</w:t>
      </w:r>
      <w:proofErr w:type="gramEnd"/>
      <w:r>
        <w:t>Rules 4, 5)</w:t>
      </w:r>
    </w:p>
    <w:p w14:paraId="469C6993" w14:textId="77777777" w:rsidR="00923BAA" w:rsidRDefault="00000000">
      <w:pPr>
        <w:spacing w:before="120" w:after="60"/>
        <w:jc w:val="center"/>
      </w:pPr>
      <w:r>
        <w:rPr>
          <w:noProof/>
        </w:rPr>
        <w:drawing>
          <wp:inline distT="0" distB="0" distL="0" distR="0" wp14:anchorId="5DA8404F" wp14:editId="1AB7FEED">
            <wp:extent cx="4000500" cy="2571750"/>
            <wp:effectExtent l="0" t="0" r="0" b="0"/>
            <wp:docPr id="638720466" name="Picture 638720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2571750"/>
                    </a:xfrm>
                    <a:prstGeom prst="rect">
                      <a:avLst/>
                    </a:prstGeom>
                  </pic:spPr>
                </pic:pic>
              </a:graphicData>
            </a:graphic>
          </wp:inline>
        </w:drawing>
      </w:r>
    </w:p>
    <w:p w14:paraId="798AF993" w14:textId="77777777" w:rsidR="00923BAA" w:rsidRDefault="00000000">
      <w:pPr>
        <w:spacing w:after="160"/>
        <w:jc w:val="center"/>
      </w:pPr>
      <w:r>
        <w:rPr>
          <w:i/>
          <w:iCs/>
          <w:color w:val="666666"/>
          <w:sz w:val="17"/>
          <w:szCs w:val="17"/>
        </w:rPr>
        <w:t>Figure 3: Regency Milk Jug Pink &amp; Sugar Bowl Green</w:t>
      </w:r>
    </w:p>
    <w:p w14:paraId="6395800D" w14:textId="77777777" w:rsidR="00923BAA" w:rsidRDefault="00000000">
      <w:pPr>
        <w:spacing w:before="60" w:after="60"/>
        <w:jc w:val="both"/>
      </w:pPr>
      <w:r>
        <w:t>REGENCY MILK JUG PINK and REGENCY SUGAR BOWL GREEN are linked bidirectionally. Combined with the Tea Plate cluster, these five Regency products form the basis of a 'Complete Regency Afternoon Tea Collection' cross-range bundle opportunity.</w:t>
      </w:r>
    </w:p>
    <w:p w14:paraId="795E521A" w14:textId="77777777" w:rsidR="00923BAA" w:rsidRDefault="00923BA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BAA" w14:paraId="2F94696B" w14:textId="77777777">
        <w:tblPrEx>
          <w:tblCellMar>
            <w:top w:w="0" w:type="dxa"/>
            <w:bottom w:w="0" w:type="dxa"/>
          </w:tblCellMar>
        </w:tblPrEx>
        <w:tc>
          <w:tcPr>
            <w:tcW w:w="0" w:type="auto"/>
            <w:tcBorders>
              <w:top w:val="single" w:sz="4" w:space="0" w:color="2E75B6"/>
              <w:left w:val="single" w:sz="18" w:space="0" w:color="2E75B6"/>
              <w:bottom w:val="single" w:sz="2" w:space="0" w:color="2E75B6"/>
              <w:right w:val="none" w:sz="0" w:space="0" w:color="FFFFFF"/>
            </w:tcBorders>
            <w:shd w:val="clear" w:color="auto" w:fill="EEF3FB"/>
            <w:tcMar>
              <w:top w:w="90" w:type="dxa"/>
              <w:left w:w="180" w:type="dxa"/>
              <w:bottom w:w="90" w:type="dxa"/>
              <w:right w:w="180" w:type="dxa"/>
            </w:tcMar>
          </w:tcPr>
          <w:p w14:paraId="3280B86A" w14:textId="77777777" w:rsidR="00923BAA" w:rsidRDefault="00000000">
            <w:pPr>
              <w:spacing w:after="50"/>
            </w:pPr>
            <w:r>
              <w:rPr>
                <w:b/>
                <w:bCs/>
                <w:color w:val="1F3864"/>
              </w:rPr>
              <w:t>Business Insight</w:t>
            </w:r>
          </w:p>
          <w:p w14:paraId="0F2F95D9" w14:textId="77777777" w:rsidR="00923BAA" w:rsidRDefault="00000000">
            <w:pPr>
              <w:jc w:val="both"/>
            </w:pPr>
            <w:r>
              <w:rPr>
                <w:color w:val="333333"/>
                <w:sz w:val="20"/>
                <w:szCs w:val="20"/>
              </w:rPr>
              <w:t>Offer a 'Regency Tea Set Starter' (Milk Jug + Sugar Bowl) and combine with the Tea Plate cluster for a full Afternoon Tea bundle.</w:t>
            </w:r>
          </w:p>
        </w:tc>
      </w:tr>
    </w:tbl>
    <w:p w14:paraId="6B9D0190" w14:textId="18BEB78E" w:rsidR="00923BAA" w:rsidRDefault="00000000">
      <w:pPr>
        <w:pStyle w:val="Heading2"/>
      </w:pPr>
      <w:proofErr w:type="gramStart"/>
      <w:r>
        <w:t>4.3  Poppy's</w:t>
      </w:r>
      <w:proofErr w:type="gramEnd"/>
      <w:r>
        <w:t xml:space="preserve"> Playhouse </w:t>
      </w:r>
      <w:proofErr w:type="gramStart"/>
      <w:r>
        <w:t>Cluster  (</w:t>
      </w:r>
      <w:proofErr w:type="gramEnd"/>
      <w:r>
        <w:t>Rules 3, 6, 9, 12, 13, 16, 17, 20)</w:t>
      </w:r>
    </w:p>
    <w:p w14:paraId="0151ED66" w14:textId="77777777" w:rsidR="00923BAA" w:rsidRDefault="00000000">
      <w:pPr>
        <w:spacing w:before="120" w:after="60"/>
        <w:jc w:val="center"/>
      </w:pPr>
      <w:r>
        <w:rPr>
          <w:noProof/>
        </w:rPr>
        <w:drawing>
          <wp:inline distT="0" distB="0" distL="0" distR="0" wp14:anchorId="1FBB96FA" wp14:editId="7A9BB63B">
            <wp:extent cx="4762500" cy="3286125"/>
            <wp:effectExtent l="0" t="0" r="0" b="0"/>
            <wp:docPr id="820651272" name="Picture 820651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3286125"/>
                    </a:xfrm>
                    <a:prstGeom prst="rect">
                      <a:avLst/>
                    </a:prstGeom>
                  </pic:spPr>
                </pic:pic>
              </a:graphicData>
            </a:graphic>
          </wp:inline>
        </w:drawing>
      </w:r>
    </w:p>
    <w:p w14:paraId="3F0D0DBD" w14:textId="77777777" w:rsidR="00923BAA" w:rsidRDefault="00000000">
      <w:pPr>
        <w:spacing w:after="160"/>
        <w:jc w:val="center"/>
      </w:pPr>
      <w:r>
        <w:rPr>
          <w:i/>
          <w:iCs/>
          <w:color w:val="666666"/>
          <w:sz w:val="17"/>
          <w:szCs w:val="17"/>
        </w:rPr>
        <w:t>Figure 4: Poppy's Playhouse — BEDROOM, KITCHEN, LIVINGROOM</w:t>
      </w:r>
    </w:p>
    <w:p w14:paraId="72D4E187" w14:textId="77777777" w:rsidR="00923BAA" w:rsidRDefault="00000000">
      <w:pPr>
        <w:spacing w:before="60" w:after="60"/>
        <w:jc w:val="both"/>
      </w:pPr>
      <w:r>
        <w:t xml:space="preserve">The most rule-dense cluster (8 rules), linking POPPY'S PLAYHOUSE BEDROOM, KITCHEN, and LIVINGROOM. Rule 3 has the highest Lift in this group. The density of connections confirms strong </w:t>
      </w:r>
      <w:r>
        <w:lastRenderedPageBreak/>
        <w:t xml:space="preserve">'collect-the-set' </w:t>
      </w:r>
      <w:proofErr w:type="spellStart"/>
      <w:r>
        <w:t>behaviour</w:t>
      </w:r>
      <w:proofErr w:type="spellEnd"/>
      <w:r>
        <w:t>. Rule 20 (lightest pink) is the weakest association and should be treated as a secondary recommendation.</w:t>
      </w:r>
    </w:p>
    <w:p w14:paraId="6BDCE37D" w14:textId="77777777" w:rsidR="00923BAA" w:rsidRDefault="00923BA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BAA" w14:paraId="6E593850" w14:textId="77777777">
        <w:tblPrEx>
          <w:tblCellMar>
            <w:top w:w="0" w:type="dxa"/>
            <w:bottom w:w="0" w:type="dxa"/>
          </w:tblCellMar>
        </w:tblPrEx>
        <w:tc>
          <w:tcPr>
            <w:tcW w:w="0" w:type="auto"/>
            <w:tcBorders>
              <w:top w:val="single" w:sz="4" w:space="0" w:color="2E75B6"/>
              <w:left w:val="single" w:sz="18" w:space="0" w:color="2E75B6"/>
              <w:bottom w:val="single" w:sz="2" w:space="0" w:color="2E75B6"/>
              <w:right w:val="none" w:sz="0" w:space="0" w:color="FFFFFF"/>
            </w:tcBorders>
            <w:shd w:val="clear" w:color="auto" w:fill="EEF3FB"/>
            <w:tcMar>
              <w:top w:w="90" w:type="dxa"/>
              <w:left w:w="180" w:type="dxa"/>
              <w:bottom w:w="90" w:type="dxa"/>
              <w:right w:w="180" w:type="dxa"/>
            </w:tcMar>
          </w:tcPr>
          <w:p w14:paraId="14101E89" w14:textId="77777777" w:rsidR="00923BAA" w:rsidRDefault="00000000">
            <w:pPr>
              <w:spacing w:after="50"/>
            </w:pPr>
            <w:r>
              <w:rPr>
                <w:b/>
                <w:bCs/>
                <w:color w:val="1F3864"/>
              </w:rPr>
              <w:t>Business Insight</w:t>
            </w:r>
          </w:p>
          <w:p w14:paraId="49702571" w14:textId="77777777" w:rsidR="00923BAA" w:rsidRDefault="00000000">
            <w:pPr>
              <w:jc w:val="both"/>
            </w:pPr>
            <w:r>
              <w:rPr>
                <w:color w:val="333333"/>
                <w:sz w:val="20"/>
                <w:szCs w:val="20"/>
              </w:rPr>
              <w:t xml:space="preserve">Greatest basket-size uplift potential. Show 'Complete the Set' prompts linking all </w:t>
            </w:r>
            <w:proofErr w:type="gramStart"/>
            <w:r>
              <w:rPr>
                <w:color w:val="333333"/>
                <w:sz w:val="20"/>
                <w:szCs w:val="20"/>
              </w:rPr>
              <w:t>three room</w:t>
            </w:r>
            <w:proofErr w:type="gramEnd"/>
            <w:r>
              <w:rPr>
                <w:color w:val="333333"/>
                <w:sz w:val="20"/>
                <w:szCs w:val="20"/>
              </w:rPr>
              <w:t xml:space="preserve"> products on each product page. A pre-packaged full playhouse bundle would likely perform strongly.</w:t>
            </w:r>
          </w:p>
        </w:tc>
      </w:tr>
    </w:tbl>
    <w:p w14:paraId="6FD25437" w14:textId="77777777" w:rsidR="00923BAA" w:rsidRDefault="00000000">
      <w:pPr>
        <w:pStyle w:val="Heading2"/>
      </w:pPr>
      <w:proofErr w:type="gramStart"/>
      <w:r>
        <w:t>4.4  Red</w:t>
      </w:r>
      <w:proofErr w:type="gramEnd"/>
      <w:r>
        <w:t xml:space="preserve"> Spotty Party Supplies </w:t>
      </w:r>
      <w:proofErr w:type="gramStart"/>
      <w:r>
        <w:t>Cluster  (</w:t>
      </w:r>
      <w:proofErr w:type="gramEnd"/>
      <w:r>
        <w:t>Rules 14, 15)</w:t>
      </w:r>
    </w:p>
    <w:p w14:paraId="72F5A542" w14:textId="77777777" w:rsidR="00923BAA" w:rsidRDefault="00000000">
      <w:pPr>
        <w:spacing w:before="120" w:after="60"/>
        <w:jc w:val="center"/>
      </w:pPr>
      <w:r>
        <w:rPr>
          <w:noProof/>
        </w:rPr>
        <w:drawing>
          <wp:inline distT="0" distB="0" distL="0" distR="0" wp14:anchorId="42AAE53A" wp14:editId="3128BC36">
            <wp:extent cx="4000500" cy="2571750"/>
            <wp:effectExtent l="0" t="0" r="0" b="0"/>
            <wp:docPr id="1199551510" name="Picture 1199551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2571750"/>
                    </a:xfrm>
                    <a:prstGeom prst="rect">
                      <a:avLst/>
                    </a:prstGeom>
                  </pic:spPr>
                </pic:pic>
              </a:graphicData>
            </a:graphic>
          </wp:inline>
        </w:drawing>
      </w:r>
    </w:p>
    <w:p w14:paraId="54D1C8BD" w14:textId="77777777" w:rsidR="00923BAA" w:rsidRDefault="00000000">
      <w:pPr>
        <w:spacing w:after="160"/>
        <w:jc w:val="center"/>
      </w:pPr>
      <w:r>
        <w:rPr>
          <w:i/>
          <w:iCs/>
          <w:color w:val="666666"/>
          <w:sz w:val="17"/>
          <w:szCs w:val="17"/>
        </w:rPr>
        <w:t>Figure 5: SET/6 Red Spotty Paper Plates &amp; Cups</w:t>
      </w:r>
    </w:p>
    <w:p w14:paraId="0F0EECEE" w14:textId="77777777" w:rsidR="00923BAA" w:rsidRDefault="00000000">
      <w:pPr>
        <w:spacing w:before="60" w:after="60"/>
        <w:jc w:val="both"/>
      </w:pPr>
      <w:r>
        <w:t>SET/6 RED SPOTTY PAPER PLATES and SET/6 RED SPOTTY PAPER CUPS are linked bidirectionally — a classic occasion-driven companion purchase driven by matching design and complementary function.</w:t>
      </w:r>
    </w:p>
    <w:p w14:paraId="4AA41A03" w14:textId="77777777" w:rsidR="00923BAA" w:rsidRDefault="00923BA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BAA" w14:paraId="23C18D7E" w14:textId="77777777">
        <w:tblPrEx>
          <w:tblCellMar>
            <w:top w:w="0" w:type="dxa"/>
            <w:bottom w:w="0" w:type="dxa"/>
          </w:tblCellMar>
        </w:tblPrEx>
        <w:tc>
          <w:tcPr>
            <w:tcW w:w="0" w:type="auto"/>
            <w:tcBorders>
              <w:top w:val="single" w:sz="4" w:space="0" w:color="2E75B6"/>
              <w:left w:val="single" w:sz="18" w:space="0" w:color="2E75B6"/>
              <w:bottom w:val="single" w:sz="2" w:space="0" w:color="2E75B6"/>
              <w:right w:val="none" w:sz="0" w:space="0" w:color="FFFFFF"/>
            </w:tcBorders>
            <w:shd w:val="clear" w:color="auto" w:fill="EEF3FB"/>
            <w:tcMar>
              <w:top w:w="90" w:type="dxa"/>
              <w:left w:w="180" w:type="dxa"/>
              <w:bottom w:w="90" w:type="dxa"/>
              <w:right w:w="180" w:type="dxa"/>
            </w:tcMar>
          </w:tcPr>
          <w:p w14:paraId="1486BDBC" w14:textId="77777777" w:rsidR="00923BAA" w:rsidRDefault="00000000">
            <w:pPr>
              <w:spacing w:after="50"/>
            </w:pPr>
            <w:r>
              <w:rPr>
                <w:b/>
                <w:bCs/>
                <w:color w:val="1F3864"/>
              </w:rPr>
              <w:t>Business Insight</w:t>
            </w:r>
          </w:p>
          <w:p w14:paraId="10298435" w14:textId="77777777" w:rsidR="00923BAA" w:rsidRDefault="00000000">
            <w:pPr>
              <w:jc w:val="both"/>
            </w:pPr>
            <w:r>
              <w:rPr>
                <w:color w:val="333333"/>
                <w:sz w:val="20"/>
                <w:szCs w:val="20"/>
              </w:rPr>
              <w:t>Create a 'Red Spotty Party Pack' bundle. Lower support to 0.005 in a follow-up run to find additional SET/6 Red Spotty items (napkins, bowls) that may form a larger party set cluster.</w:t>
            </w:r>
          </w:p>
        </w:tc>
      </w:tr>
    </w:tbl>
    <w:p w14:paraId="535DE301" w14:textId="77777777" w:rsidR="00923BAA" w:rsidRDefault="00000000">
      <w:pPr>
        <w:pStyle w:val="Heading2"/>
      </w:pPr>
      <w:proofErr w:type="gramStart"/>
      <w:r>
        <w:t>4.5  Children's</w:t>
      </w:r>
      <w:proofErr w:type="gramEnd"/>
      <w:r>
        <w:t xml:space="preserve"> Cutlery </w:t>
      </w:r>
      <w:proofErr w:type="gramStart"/>
      <w:r>
        <w:t>Cluster  (</w:t>
      </w:r>
      <w:proofErr w:type="gramEnd"/>
      <w:r>
        <w:t>Rules 18, 19)</w:t>
      </w:r>
    </w:p>
    <w:p w14:paraId="53DA7B19" w14:textId="77777777" w:rsidR="00923BAA" w:rsidRDefault="00000000">
      <w:pPr>
        <w:spacing w:before="120" w:after="60"/>
        <w:jc w:val="center"/>
      </w:pPr>
      <w:r>
        <w:rPr>
          <w:noProof/>
        </w:rPr>
        <w:drawing>
          <wp:inline distT="0" distB="0" distL="0" distR="0" wp14:anchorId="02C92ACE" wp14:editId="7A7BC360">
            <wp:extent cx="4000500" cy="2714625"/>
            <wp:effectExtent l="0" t="0" r="0" b="0"/>
            <wp:docPr id="255411778" name="Picture 255411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714625"/>
                    </a:xfrm>
                    <a:prstGeom prst="rect">
                      <a:avLst/>
                    </a:prstGeom>
                  </pic:spPr>
                </pic:pic>
              </a:graphicData>
            </a:graphic>
          </wp:inline>
        </w:drawing>
      </w:r>
    </w:p>
    <w:p w14:paraId="7FB150D5" w14:textId="77777777" w:rsidR="00923BAA" w:rsidRDefault="00000000">
      <w:pPr>
        <w:spacing w:after="160"/>
        <w:jc w:val="center"/>
      </w:pPr>
      <w:r>
        <w:rPr>
          <w:i/>
          <w:iCs/>
          <w:color w:val="666666"/>
          <w:sz w:val="17"/>
          <w:szCs w:val="17"/>
        </w:rPr>
        <w:lastRenderedPageBreak/>
        <w:t>Figure 6: CHILDRENS CUTLERY SPACEBOY &amp; DOLLY GIRL</w:t>
      </w:r>
    </w:p>
    <w:p w14:paraId="50770B04" w14:textId="77777777" w:rsidR="00923BAA" w:rsidRDefault="00000000">
      <w:pPr>
        <w:spacing w:before="60" w:after="60"/>
        <w:jc w:val="both"/>
      </w:pPr>
      <w:r>
        <w:t>CHILDRENS CUTLERY SPACEBOY and CHILDRENS CUTLERY DOLLY GIRL are linked bidirectionally, suggesting parents buying for multiple children or purchasing gender-paired gifts simultaneously.</w:t>
      </w:r>
    </w:p>
    <w:p w14:paraId="01EE7A3D" w14:textId="77777777" w:rsidR="00923BAA" w:rsidRDefault="00923BA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BAA" w14:paraId="3E8A5B90" w14:textId="77777777">
        <w:tblPrEx>
          <w:tblCellMar>
            <w:top w:w="0" w:type="dxa"/>
            <w:bottom w:w="0" w:type="dxa"/>
          </w:tblCellMar>
        </w:tblPrEx>
        <w:tc>
          <w:tcPr>
            <w:tcW w:w="0" w:type="auto"/>
            <w:tcBorders>
              <w:top w:val="single" w:sz="4" w:space="0" w:color="2E75B6"/>
              <w:left w:val="single" w:sz="18" w:space="0" w:color="2E75B6"/>
              <w:bottom w:val="single" w:sz="2" w:space="0" w:color="2E75B6"/>
              <w:right w:val="none" w:sz="0" w:space="0" w:color="FFFFFF"/>
            </w:tcBorders>
            <w:shd w:val="clear" w:color="auto" w:fill="EEF3FB"/>
            <w:tcMar>
              <w:top w:w="90" w:type="dxa"/>
              <w:left w:w="180" w:type="dxa"/>
              <w:bottom w:w="90" w:type="dxa"/>
              <w:right w:w="180" w:type="dxa"/>
            </w:tcMar>
          </w:tcPr>
          <w:p w14:paraId="34D42B36" w14:textId="77777777" w:rsidR="00923BAA" w:rsidRDefault="00000000">
            <w:pPr>
              <w:spacing w:after="50"/>
            </w:pPr>
            <w:r>
              <w:rPr>
                <w:b/>
                <w:bCs/>
                <w:color w:val="1F3864"/>
              </w:rPr>
              <w:t>Business Insight</w:t>
            </w:r>
          </w:p>
          <w:p w14:paraId="4A8A812C" w14:textId="77777777" w:rsidR="00923BAA" w:rsidRDefault="00000000">
            <w:pPr>
              <w:jc w:val="both"/>
            </w:pPr>
            <w:r>
              <w:rPr>
                <w:color w:val="333333"/>
                <w:sz w:val="20"/>
                <w:szCs w:val="20"/>
              </w:rPr>
              <w:t xml:space="preserve">Offer a 'Kids' Cutlery Duo Gift Set'. Expand the analysis to other </w:t>
            </w:r>
            <w:proofErr w:type="spellStart"/>
            <w:r>
              <w:rPr>
                <w:color w:val="333333"/>
                <w:sz w:val="20"/>
                <w:szCs w:val="20"/>
              </w:rPr>
              <w:t>Spaceboy</w:t>
            </w:r>
            <w:proofErr w:type="spellEnd"/>
            <w:r>
              <w:rPr>
                <w:color w:val="333333"/>
                <w:sz w:val="20"/>
                <w:szCs w:val="20"/>
              </w:rPr>
              <w:t>/Dolly Girl branded products (bags, lunch boxes) to surface a broader brand-family cluster.</w:t>
            </w:r>
          </w:p>
        </w:tc>
      </w:tr>
    </w:tbl>
    <w:p w14:paraId="5CE77056" w14:textId="3CD1D850" w:rsidR="00923BAA" w:rsidRDefault="00000000">
      <w:pPr>
        <w:pStyle w:val="Heading1"/>
        <w:pBdr>
          <w:bottom w:val="single" w:sz="4" w:space="3" w:color="2E75B6"/>
        </w:pBdr>
      </w:pPr>
      <w:proofErr w:type="gramStart"/>
      <w:r>
        <w:t>Recommendations Summary</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923BAA" w14:paraId="0F9C5071"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35CD88F5" w14:textId="77777777" w:rsidR="00923BAA" w:rsidRDefault="00000000">
            <w:pPr>
              <w:jc w:val="center"/>
            </w:pPr>
            <w:r>
              <w:rPr>
                <w:b/>
                <w:bCs/>
                <w:color w:val="FFFFFF"/>
              </w:rPr>
              <w:t>Action</w:t>
            </w:r>
          </w:p>
        </w:tc>
        <w:tc>
          <w:tcPr>
            <w:tcW w:w="308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290BE031" w14:textId="77777777" w:rsidR="00923BAA" w:rsidRDefault="00000000">
            <w:pPr>
              <w:jc w:val="center"/>
            </w:pPr>
            <w:r>
              <w:rPr>
                <w:b/>
                <w:bCs/>
                <w:color w:val="FFFFFF"/>
              </w:rPr>
              <w:t>Products</w:t>
            </w:r>
          </w:p>
        </w:tc>
        <w:tc>
          <w:tcPr>
            <w:tcW w:w="308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47A492B0" w14:textId="77777777" w:rsidR="00923BAA" w:rsidRDefault="00000000">
            <w:pPr>
              <w:jc w:val="center"/>
            </w:pPr>
            <w:r>
              <w:rPr>
                <w:b/>
                <w:bCs/>
                <w:color w:val="FFFFFF"/>
              </w:rPr>
              <w:t>Priority</w:t>
            </w:r>
          </w:p>
        </w:tc>
      </w:tr>
      <w:tr w:rsidR="00923BAA" w14:paraId="22C0A24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10" w:type="dxa"/>
              <w:bottom w:w="70" w:type="dxa"/>
              <w:right w:w="110" w:type="dxa"/>
            </w:tcMar>
          </w:tcPr>
          <w:p w14:paraId="7AC6C51B" w14:textId="77777777" w:rsidR="00923BAA" w:rsidRDefault="00000000">
            <w:pPr>
              <w:jc w:val="center"/>
            </w:pPr>
            <w:r>
              <w:rPr>
                <w:color w:val="000000"/>
                <w:sz w:val="20"/>
                <w:szCs w:val="20"/>
              </w:rPr>
              <w:t>Bundle: Regency Afternoon Tea Collection</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68496A5" w14:textId="77777777" w:rsidR="00923BAA" w:rsidRDefault="00000000">
            <w:pPr>
              <w:jc w:val="center"/>
            </w:pPr>
            <w:r>
              <w:rPr>
                <w:color w:val="000000"/>
                <w:sz w:val="20"/>
                <w:szCs w:val="20"/>
              </w:rPr>
              <w:t>Tea Plates (3) + Milk Jug + Sugar Bowl</w:t>
            </w:r>
          </w:p>
        </w:tc>
        <w:tc>
          <w:tcPr>
            <w:tcW w:w="308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10" w:type="dxa"/>
              <w:bottom w:w="70" w:type="dxa"/>
              <w:right w:w="110" w:type="dxa"/>
            </w:tcMar>
          </w:tcPr>
          <w:p w14:paraId="1793F8E8" w14:textId="77777777" w:rsidR="00923BAA" w:rsidRDefault="00000000">
            <w:pPr>
              <w:jc w:val="center"/>
            </w:pPr>
            <w:r>
              <w:rPr>
                <w:color w:val="000000"/>
                <w:sz w:val="20"/>
                <w:szCs w:val="20"/>
              </w:rPr>
              <w:t>High</w:t>
            </w:r>
          </w:p>
        </w:tc>
      </w:tr>
      <w:tr w:rsidR="00923BAA" w14:paraId="67D0863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10" w:type="dxa"/>
              <w:bottom w:w="70" w:type="dxa"/>
              <w:right w:w="110" w:type="dxa"/>
            </w:tcMar>
          </w:tcPr>
          <w:p w14:paraId="531DD734" w14:textId="77777777" w:rsidR="00923BAA" w:rsidRDefault="00000000">
            <w:pPr>
              <w:jc w:val="center"/>
            </w:pPr>
            <w:r>
              <w:rPr>
                <w:color w:val="000000"/>
                <w:sz w:val="20"/>
                <w:szCs w:val="20"/>
              </w:rPr>
              <w:t>Bundle: Complete Poppy's Playhouse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AD5D130" w14:textId="77777777" w:rsidR="00923BAA" w:rsidRDefault="00000000">
            <w:pPr>
              <w:jc w:val="center"/>
            </w:pPr>
            <w:r>
              <w:rPr>
                <w:color w:val="000000"/>
                <w:sz w:val="20"/>
                <w:szCs w:val="20"/>
              </w:rPr>
              <w:t>Bedroom + Kitchen + Livingroom</w:t>
            </w:r>
          </w:p>
        </w:tc>
        <w:tc>
          <w:tcPr>
            <w:tcW w:w="308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10" w:type="dxa"/>
              <w:bottom w:w="70" w:type="dxa"/>
              <w:right w:w="110" w:type="dxa"/>
            </w:tcMar>
          </w:tcPr>
          <w:p w14:paraId="37C6FC79" w14:textId="77777777" w:rsidR="00923BAA" w:rsidRDefault="00000000">
            <w:pPr>
              <w:jc w:val="center"/>
            </w:pPr>
            <w:r>
              <w:rPr>
                <w:color w:val="000000"/>
                <w:sz w:val="20"/>
                <w:szCs w:val="20"/>
              </w:rPr>
              <w:t>High</w:t>
            </w:r>
          </w:p>
        </w:tc>
      </w:tr>
      <w:tr w:rsidR="00923BAA" w14:paraId="3C84957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10" w:type="dxa"/>
              <w:bottom w:w="70" w:type="dxa"/>
              <w:right w:w="110" w:type="dxa"/>
            </w:tcMar>
          </w:tcPr>
          <w:p w14:paraId="45BA117F" w14:textId="77777777" w:rsidR="00923BAA" w:rsidRDefault="00000000">
            <w:pPr>
              <w:jc w:val="center"/>
            </w:pPr>
            <w:r>
              <w:rPr>
                <w:color w:val="000000"/>
                <w:sz w:val="20"/>
                <w:szCs w:val="20"/>
              </w:rPr>
              <w:t>Recommendation Engine: Tea Plates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E3E1858" w14:textId="77777777" w:rsidR="00923BAA" w:rsidRDefault="00000000">
            <w:pPr>
              <w:jc w:val="center"/>
            </w:pPr>
            <w:r>
              <w:rPr>
                <w:color w:val="000000"/>
                <w:sz w:val="20"/>
                <w:szCs w:val="20"/>
              </w:rPr>
              <w:t>Surface all 3 variants on any plate PDP</w:t>
            </w:r>
          </w:p>
        </w:tc>
        <w:tc>
          <w:tcPr>
            <w:tcW w:w="308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10" w:type="dxa"/>
              <w:bottom w:w="70" w:type="dxa"/>
              <w:right w:w="110" w:type="dxa"/>
            </w:tcMar>
          </w:tcPr>
          <w:p w14:paraId="7F38AE53" w14:textId="77777777" w:rsidR="00923BAA" w:rsidRDefault="00000000">
            <w:pPr>
              <w:jc w:val="center"/>
            </w:pPr>
            <w:r>
              <w:rPr>
                <w:color w:val="000000"/>
                <w:sz w:val="20"/>
                <w:szCs w:val="20"/>
              </w:rPr>
              <w:t>High</w:t>
            </w:r>
          </w:p>
        </w:tc>
      </w:tr>
      <w:tr w:rsidR="00923BAA" w14:paraId="1BAA126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10" w:type="dxa"/>
              <w:bottom w:w="70" w:type="dxa"/>
              <w:right w:w="110" w:type="dxa"/>
            </w:tcMar>
          </w:tcPr>
          <w:p w14:paraId="4567FFFB" w14:textId="77777777" w:rsidR="00923BAA" w:rsidRDefault="00000000">
            <w:pPr>
              <w:jc w:val="center"/>
            </w:pPr>
            <w:r>
              <w:rPr>
                <w:color w:val="000000"/>
                <w:sz w:val="20"/>
                <w:szCs w:val="20"/>
              </w:rPr>
              <w:t>Bundle: Red Spotty Party Pack</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1D407AA" w14:textId="77777777" w:rsidR="00923BAA" w:rsidRDefault="00000000">
            <w:pPr>
              <w:jc w:val="center"/>
            </w:pPr>
            <w:r>
              <w:rPr>
                <w:color w:val="000000"/>
                <w:sz w:val="20"/>
                <w:szCs w:val="20"/>
              </w:rPr>
              <w:t>Paper Plates + Cups (+ explore others)</w:t>
            </w:r>
          </w:p>
        </w:tc>
        <w:tc>
          <w:tcPr>
            <w:tcW w:w="308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10" w:type="dxa"/>
              <w:bottom w:w="70" w:type="dxa"/>
              <w:right w:w="110" w:type="dxa"/>
            </w:tcMar>
          </w:tcPr>
          <w:p w14:paraId="7E36E988" w14:textId="77777777" w:rsidR="00923BAA" w:rsidRDefault="00000000">
            <w:pPr>
              <w:jc w:val="center"/>
            </w:pPr>
            <w:r>
              <w:rPr>
                <w:color w:val="000000"/>
                <w:sz w:val="20"/>
                <w:szCs w:val="20"/>
              </w:rPr>
              <w:t>Medium</w:t>
            </w:r>
          </w:p>
        </w:tc>
      </w:tr>
      <w:tr w:rsidR="00923BAA" w14:paraId="70F08CF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10" w:type="dxa"/>
              <w:bottom w:w="70" w:type="dxa"/>
              <w:right w:w="110" w:type="dxa"/>
            </w:tcMar>
          </w:tcPr>
          <w:p w14:paraId="668FAC0A" w14:textId="77777777" w:rsidR="00923BAA" w:rsidRDefault="00000000">
            <w:pPr>
              <w:jc w:val="center"/>
            </w:pPr>
            <w:r>
              <w:rPr>
                <w:color w:val="000000"/>
                <w:sz w:val="20"/>
                <w:szCs w:val="20"/>
              </w:rPr>
              <w:t>Bundle: Kids' Cutlery Duo Gift Set</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0C7DA32" w14:textId="77777777" w:rsidR="00923BAA" w:rsidRDefault="00000000">
            <w:pPr>
              <w:jc w:val="center"/>
            </w:pPr>
            <w:proofErr w:type="spellStart"/>
            <w:r>
              <w:rPr>
                <w:color w:val="000000"/>
                <w:sz w:val="20"/>
                <w:szCs w:val="20"/>
              </w:rPr>
              <w:t>Spaceboy</w:t>
            </w:r>
            <w:proofErr w:type="spellEnd"/>
            <w:r>
              <w:rPr>
                <w:color w:val="000000"/>
                <w:sz w:val="20"/>
                <w:szCs w:val="20"/>
              </w:rPr>
              <w:t xml:space="preserve"> + Dolly Girl</w:t>
            </w:r>
          </w:p>
        </w:tc>
        <w:tc>
          <w:tcPr>
            <w:tcW w:w="308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10" w:type="dxa"/>
              <w:bottom w:w="70" w:type="dxa"/>
              <w:right w:w="110" w:type="dxa"/>
            </w:tcMar>
          </w:tcPr>
          <w:p w14:paraId="7E0A6C7A" w14:textId="77777777" w:rsidR="00923BAA" w:rsidRDefault="00000000">
            <w:pPr>
              <w:jc w:val="center"/>
            </w:pPr>
            <w:r>
              <w:rPr>
                <w:color w:val="000000"/>
                <w:sz w:val="20"/>
                <w:szCs w:val="20"/>
              </w:rPr>
              <w:t>Medium</w:t>
            </w:r>
          </w:p>
        </w:tc>
      </w:tr>
      <w:tr w:rsidR="00923BAA" w14:paraId="5907E4A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10" w:type="dxa"/>
              <w:bottom w:w="70" w:type="dxa"/>
              <w:right w:w="110" w:type="dxa"/>
            </w:tcMar>
          </w:tcPr>
          <w:p w14:paraId="575DABBD" w14:textId="77777777" w:rsidR="00923BAA" w:rsidRDefault="00000000">
            <w:pPr>
              <w:jc w:val="center"/>
            </w:pPr>
            <w:r>
              <w:rPr>
                <w:color w:val="000000"/>
                <w:sz w:val="20"/>
                <w:szCs w:val="20"/>
              </w:rPr>
              <w:t>Data Quality: Remove POSTAGE entries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F9245CE" w14:textId="77777777" w:rsidR="00923BAA" w:rsidRDefault="00000000">
            <w:pPr>
              <w:jc w:val="center"/>
            </w:pPr>
            <w:r>
              <w:rPr>
                <w:color w:val="000000"/>
                <w:sz w:val="20"/>
                <w:szCs w:val="20"/>
              </w:rPr>
              <w:t>Preprocessing pipeline update</w:t>
            </w:r>
          </w:p>
        </w:tc>
        <w:tc>
          <w:tcPr>
            <w:tcW w:w="308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10" w:type="dxa"/>
              <w:bottom w:w="70" w:type="dxa"/>
              <w:right w:w="110" w:type="dxa"/>
            </w:tcMar>
          </w:tcPr>
          <w:p w14:paraId="698CC900" w14:textId="77777777" w:rsidR="00923BAA" w:rsidRDefault="00000000">
            <w:pPr>
              <w:jc w:val="center"/>
            </w:pPr>
            <w:r>
              <w:rPr>
                <w:color w:val="000000"/>
                <w:sz w:val="20"/>
                <w:szCs w:val="20"/>
              </w:rPr>
              <w:t>Low</w:t>
            </w:r>
          </w:p>
        </w:tc>
      </w:tr>
    </w:tbl>
    <w:p w14:paraId="1EDCE5B1" w14:textId="77777777" w:rsidR="00923BAA" w:rsidRDefault="00923BAA">
      <w:pPr>
        <w:spacing w:before="80" w:after="80"/>
      </w:pPr>
    </w:p>
    <w:p w14:paraId="1B648228" w14:textId="59643D38" w:rsidR="00923BAA" w:rsidRDefault="00000000">
      <w:pPr>
        <w:pStyle w:val="Heading1"/>
        <w:pBdr>
          <w:bottom w:val="single" w:sz="4" w:space="3" w:color="2E75B6"/>
        </w:pBdr>
      </w:pPr>
      <w:r>
        <w:t>Conclusion</w:t>
      </w:r>
    </w:p>
    <w:p w14:paraId="79E1FD9D" w14:textId="77777777" w:rsidR="00923BAA" w:rsidRDefault="00000000">
      <w:pPr>
        <w:spacing w:before="60" w:after="60"/>
        <w:jc w:val="both"/>
      </w:pPr>
      <w:r>
        <w:t xml:space="preserve">The </w:t>
      </w:r>
      <w:proofErr w:type="spellStart"/>
      <w:r>
        <w:t>Apriori</w:t>
      </w:r>
      <w:proofErr w:type="spellEnd"/>
      <w:r>
        <w:t xml:space="preserve"> algorithm successfully identified 20 association rules across five coherent product clusters, all exhibiting consistent 'collect-the-set' and companion purchasing </w:t>
      </w:r>
      <w:proofErr w:type="spellStart"/>
      <w:r>
        <w:t>behaviour</w:t>
      </w:r>
      <w:proofErr w:type="spellEnd"/>
      <w:r>
        <w:t>. The Regency Tea Plate range holds the highest Lift values and should be the first target for recommendation engine implementation. The methodology is reusable and scalable — future runs at lower support thresholds, combined with customer segmentation, will surface additional actionable patterns.</w:t>
      </w:r>
    </w:p>
    <w:p w14:paraId="6DCB5C01" w14:textId="77777777" w:rsidR="00923BAA" w:rsidRDefault="00000000">
      <w:pPr>
        <w:pBdr>
          <w:top w:val="single" w:sz="4" w:space="4" w:color="2E75B6"/>
        </w:pBdr>
        <w:spacing w:before="400" w:after="60"/>
        <w:jc w:val="center"/>
      </w:pPr>
      <w:r>
        <w:rPr>
          <w:i/>
          <w:iCs/>
          <w:color w:val="888888"/>
          <w:sz w:val="17"/>
          <w:szCs w:val="17"/>
        </w:rPr>
        <w:t xml:space="preserve">Market Basket </w:t>
      </w:r>
      <w:proofErr w:type="gramStart"/>
      <w:r>
        <w:rPr>
          <w:i/>
          <w:iCs/>
          <w:color w:val="888888"/>
          <w:sz w:val="17"/>
          <w:szCs w:val="17"/>
        </w:rPr>
        <w:t>Analysis  •</w:t>
      </w:r>
      <w:proofErr w:type="gramEnd"/>
      <w:r>
        <w:rPr>
          <w:i/>
          <w:iCs/>
          <w:color w:val="888888"/>
          <w:sz w:val="17"/>
          <w:szCs w:val="17"/>
        </w:rPr>
        <w:t xml:space="preserve">  </w:t>
      </w:r>
      <w:proofErr w:type="spellStart"/>
      <w:r>
        <w:rPr>
          <w:i/>
          <w:iCs/>
          <w:color w:val="888888"/>
          <w:sz w:val="17"/>
          <w:szCs w:val="17"/>
        </w:rPr>
        <w:t>Apriori</w:t>
      </w:r>
      <w:proofErr w:type="spellEnd"/>
      <w:r>
        <w:rPr>
          <w:i/>
          <w:iCs/>
          <w:color w:val="888888"/>
          <w:sz w:val="17"/>
          <w:szCs w:val="17"/>
        </w:rPr>
        <w:t xml:space="preserve"> </w:t>
      </w:r>
      <w:proofErr w:type="gramStart"/>
      <w:r>
        <w:rPr>
          <w:i/>
          <w:iCs/>
          <w:color w:val="888888"/>
          <w:sz w:val="17"/>
          <w:szCs w:val="17"/>
        </w:rPr>
        <w:t>Algorithm  •</w:t>
      </w:r>
      <w:proofErr w:type="gramEnd"/>
      <w:r>
        <w:rPr>
          <w:i/>
          <w:iCs/>
          <w:color w:val="888888"/>
          <w:sz w:val="17"/>
          <w:szCs w:val="17"/>
        </w:rPr>
        <w:t xml:space="preserve">  Online Retail Dataset</w:t>
      </w:r>
    </w:p>
    <w:sectPr w:rsidR="00923BAA">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45FAB"/>
    <w:multiLevelType w:val="hybridMultilevel"/>
    <w:tmpl w:val="CA269AB8"/>
    <w:lvl w:ilvl="0" w:tplc="F3222776">
      <w:start w:val="1"/>
      <w:numFmt w:val="bullet"/>
      <w:lvlText w:val="•"/>
      <w:lvlJc w:val="left"/>
      <w:pPr>
        <w:ind w:left="720" w:hanging="360"/>
      </w:pPr>
    </w:lvl>
    <w:lvl w:ilvl="1" w:tplc="50CADA60">
      <w:numFmt w:val="decimal"/>
      <w:lvlText w:val=""/>
      <w:lvlJc w:val="left"/>
    </w:lvl>
    <w:lvl w:ilvl="2" w:tplc="519C3274">
      <w:numFmt w:val="decimal"/>
      <w:lvlText w:val=""/>
      <w:lvlJc w:val="left"/>
    </w:lvl>
    <w:lvl w:ilvl="3" w:tplc="FAAE7CD4">
      <w:numFmt w:val="decimal"/>
      <w:lvlText w:val=""/>
      <w:lvlJc w:val="left"/>
    </w:lvl>
    <w:lvl w:ilvl="4" w:tplc="637ACE8E">
      <w:numFmt w:val="decimal"/>
      <w:lvlText w:val=""/>
      <w:lvlJc w:val="left"/>
    </w:lvl>
    <w:lvl w:ilvl="5" w:tplc="980C7954">
      <w:numFmt w:val="decimal"/>
      <w:lvlText w:val=""/>
      <w:lvlJc w:val="left"/>
    </w:lvl>
    <w:lvl w:ilvl="6" w:tplc="E72C0A4E">
      <w:numFmt w:val="decimal"/>
      <w:lvlText w:val=""/>
      <w:lvlJc w:val="left"/>
    </w:lvl>
    <w:lvl w:ilvl="7" w:tplc="A9222ACA">
      <w:numFmt w:val="decimal"/>
      <w:lvlText w:val=""/>
      <w:lvlJc w:val="left"/>
    </w:lvl>
    <w:lvl w:ilvl="8" w:tplc="EE6A062E">
      <w:numFmt w:val="decimal"/>
      <w:lvlText w:val=""/>
      <w:lvlJc w:val="left"/>
    </w:lvl>
  </w:abstractNum>
  <w:abstractNum w:abstractNumId="1" w15:restartNumberingAfterBreak="0">
    <w:nsid w:val="61205134"/>
    <w:multiLevelType w:val="hybridMultilevel"/>
    <w:tmpl w:val="19F8C3E6"/>
    <w:lvl w:ilvl="0" w:tplc="F0466AF0">
      <w:start w:val="1"/>
      <w:numFmt w:val="bullet"/>
      <w:lvlText w:val="●"/>
      <w:lvlJc w:val="left"/>
      <w:pPr>
        <w:ind w:left="720" w:hanging="360"/>
      </w:pPr>
    </w:lvl>
    <w:lvl w:ilvl="1" w:tplc="F0FA37CC">
      <w:start w:val="1"/>
      <w:numFmt w:val="bullet"/>
      <w:lvlText w:val="○"/>
      <w:lvlJc w:val="left"/>
      <w:pPr>
        <w:ind w:left="1440" w:hanging="360"/>
      </w:pPr>
    </w:lvl>
    <w:lvl w:ilvl="2" w:tplc="0840D4A2">
      <w:start w:val="1"/>
      <w:numFmt w:val="bullet"/>
      <w:lvlText w:val="■"/>
      <w:lvlJc w:val="left"/>
      <w:pPr>
        <w:ind w:left="2160" w:hanging="360"/>
      </w:pPr>
    </w:lvl>
    <w:lvl w:ilvl="3" w:tplc="E3CC95D2">
      <w:start w:val="1"/>
      <w:numFmt w:val="bullet"/>
      <w:lvlText w:val="●"/>
      <w:lvlJc w:val="left"/>
      <w:pPr>
        <w:ind w:left="2880" w:hanging="360"/>
      </w:pPr>
    </w:lvl>
    <w:lvl w:ilvl="4" w:tplc="2572EFC0">
      <w:start w:val="1"/>
      <w:numFmt w:val="bullet"/>
      <w:lvlText w:val="○"/>
      <w:lvlJc w:val="left"/>
      <w:pPr>
        <w:ind w:left="3600" w:hanging="360"/>
      </w:pPr>
    </w:lvl>
    <w:lvl w:ilvl="5" w:tplc="24EA92B0">
      <w:start w:val="1"/>
      <w:numFmt w:val="bullet"/>
      <w:lvlText w:val="■"/>
      <w:lvlJc w:val="left"/>
      <w:pPr>
        <w:ind w:left="4320" w:hanging="360"/>
      </w:pPr>
    </w:lvl>
    <w:lvl w:ilvl="6" w:tplc="F076A0D0">
      <w:start w:val="1"/>
      <w:numFmt w:val="bullet"/>
      <w:lvlText w:val="●"/>
      <w:lvlJc w:val="left"/>
      <w:pPr>
        <w:ind w:left="5040" w:hanging="360"/>
      </w:pPr>
    </w:lvl>
    <w:lvl w:ilvl="7" w:tplc="F09ADDE0">
      <w:start w:val="1"/>
      <w:numFmt w:val="bullet"/>
      <w:lvlText w:val="●"/>
      <w:lvlJc w:val="left"/>
      <w:pPr>
        <w:ind w:left="5760" w:hanging="360"/>
      </w:pPr>
    </w:lvl>
    <w:lvl w:ilvl="8" w:tplc="6F1C222E">
      <w:start w:val="1"/>
      <w:numFmt w:val="bullet"/>
      <w:lvlText w:val="●"/>
      <w:lvlJc w:val="left"/>
      <w:pPr>
        <w:ind w:left="6480" w:hanging="360"/>
      </w:pPr>
    </w:lvl>
  </w:abstractNum>
  <w:num w:numId="1" w16cid:durableId="3846436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BAA"/>
    <w:rsid w:val="0032119B"/>
    <w:rsid w:val="008A2B7B"/>
    <w:rsid w:val="00923BAA"/>
    <w:rsid w:val="00C35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4F8CF"/>
  <w15:docId w15:val="{F191A5B9-56D8-44A1-9214-F320E5D8E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F3864"/>
      <w:sz w:val="30"/>
      <w:szCs w:val="30"/>
    </w:rPr>
  </w:style>
  <w:style w:type="paragraph" w:styleId="Heading2">
    <w:name w:val="heading 2"/>
    <w:uiPriority w:val="9"/>
    <w:unhideWhenUsed/>
    <w:qFormat/>
    <w:pPr>
      <w:spacing w:before="20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6</Pages>
  <Words>941</Words>
  <Characters>5367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Derin Alex</cp:lastModifiedBy>
  <cp:revision>2</cp:revision>
  <dcterms:created xsi:type="dcterms:W3CDTF">2026-03-24T18:58:00Z</dcterms:created>
  <dcterms:modified xsi:type="dcterms:W3CDTF">2026-03-24T19:56:00Z</dcterms:modified>
</cp:coreProperties>
</file>