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9791E" w14:textId="77777777" w:rsidR="005A1726" w:rsidRPr="00343B35" w:rsidRDefault="00343B35">
      <w:pPr>
        <w:spacing w:after="317" w:line="259" w:lineRule="auto"/>
        <w:ind w:left="0" w:firstLine="0"/>
        <w:jc w:val="center"/>
        <w:rPr>
          <w:color w:val="000000" w:themeColor="text1"/>
        </w:rPr>
      </w:pPr>
      <w:r w:rsidRPr="00343B35">
        <w:rPr>
          <w:color w:val="000000" w:themeColor="text1"/>
          <w:sz w:val="22"/>
        </w:rPr>
        <w:t>Deep Learning Assignment</w:t>
      </w:r>
    </w:p>
    <w:p w14:paraId="7B28360F" w14:textId="77777777" w:rsidR="005A1726" w:rsidRPr="00343B35" w:rsidRDefault="00343B35">
      <w:pPr>
        <w:pStyle w:val="Heading1"/>
        <w:spacing w:after="120"/>
        <w:rPr>
          <w:color w:val="000000" w:themeColor="text1"/>
        </w:rPr>
      </w:pPr>
      <w:r w:rsidRPr="00343B35">
        <w:rPr>
          <w:color w:val="000000" w:themeColor="text1"/>
        </w:rPr>
        <w:t xml:space="preserve">Review, Implementation, and Comparative Analysis of Encoder–Decoder Models </w:t>
      </w:r>
      <w:proofErr w:type="gramStart"/>
      <w:r w:rsidRPr="00343B35">
        <w:rPr>
          <w:color w:val="000000" w:themeColor="text1"/>
        </w:rPr>
        <w:t>With</w:t>
      </w:r>
      <w:proofErr w:type="gramEnd"/>
      <w:r w:rsidRPr="00343B35">
        <w:rPr>
          <w:color w:val="000000" w:themeColor="text1"/>
        </w:rPr>
        <w:t xml:space="preserve"> and Without Attention Mechanism</w:t>
      </w:r>
    </w:p>
    <w:p w14:paraId="50AEC633" w14:textId="1644A5F6" w:rsidR="005A1726" w:rsidRPr="00343B35" w:rsidRDefault="005A1726">
      <w:pPr>
        <w:spacing w:after="363" w:line="259" w:lineRule="auto"/>
        <w:ind w:left="0" w:firstLine="0"/>
        <w:jc w:val="left"/>
        <w:rPr>
          <w:color w:val="000000" w:themeColor="text1"/>
        </w:rPr>
      </w:pPr>
      <w:bookmarkStart w:id="0" w:name="_GoBack"/>
      <w:bookmarkEnd w:id="0"/>
    </w:p>
    <w:tbl>
      <w:tblPr>
        <w:tblStyle w:val="TableGrid"/>
        <w:tblW w:w="7581" w:type="dxa"/>
        <w:tblInd w:w="142" w:type="dxa"/>
        <w:tblLook w:val="04A0" w:firstRow="1" w:lastRow="0" w:firstColumn="1" w:lastColumn="0" w:noHBand="0" w:noVBand="1"/>
      </w:tblPr>
      <w:tblGrid>
        <w:gridCol w:w="1701"/>
        <w:gridCol w:w="4536"/>
        <w:gridCol w:w="1344"/>
      </w:tblGrid>
      <w:tr w:rsidR="00343B35" w:rsidRPr="00343B35" w14:paraId="7696C2F2" w14:textId="77777777">
        <w:trPr>
          <w:trHeight w:val="293"/>
        </w:trPr>
        <w:tc>
          <w:tcPr>
            <w:tcW w:w="1701" w:type="dxa"/>
            <w:tcBorders>
              <w:top w:val="nil"/>
              <w:left w:val="nil"/>
              <w:bottom w:val="nil"/>
              <w:right w:val="nil"/>
            </w:tcBorders>
          </w:tcPr>
          <w:p w14:paraId="5BF669F8" w14:textId="77777777" w:rsidR="005A1726" w:rsidRPr="00343B35" w:rsidRDefault="00343B35">
            <w:pPr>
              <w:spacing w:after="0" w:line="259" w:lineRule="auto"/>
              <w:ind w:left="0" w:firstLine="0"/>
              <w:jc w:val="left"/>
              <w:rPr>
                <w:color w:val="000000" w:themeColor="text1"/>
              </w:rPr>
            </w:pPr>
            <w:r w:rsidRPr="00343B35">
              <w:rPr>
                <w:color w:val="000000" w:themeColor="text1"/>
              </w:rPr>
              <w:t>Student Name :</w:t>
            </w:r>
          </w:p>
        </w:tc>
        <w:tc>
          <w:tcPr>
            <w:tcW w:w="4535" w:type="dxa"/>
            <w:tcBorders>
              <w:top w:val="nil"/>
              <w:left w:val="nil"/>
              <w:bottom w:val="nil"/>
              <w:right w:val="nil"/>
            </w:tcBorders>
          </w:tcPr>
          <w:p w14:paraId="174C27F6" w14:textId="6AECE622" w:rsidR="005A1726" w:rsidRPr="00343B35" w:rsidRDefault="00103F19">
            <w:pPr>
              <w:tabs>
                <w:tab w:val="center" w:pos="3502"/>
              </w:tabs>
              <w:spacing w:after="0" w:line="259" w:lineRule="auto"/>
              <w:ind w:left="0" w:firstLine="0"/>
              <w:jc w:val="left"/>
              <w:rPr>
                <w:color w:val="000000" w:themeColor="text1"/>
              </w:rPr>
            </w:pPr>
            <w:r w:rsidRPr="00343B35">
              <w:rPr>
                <w:b/>
                <w:color w:val="000000" w:themeColor="text1"/>
              </w:rPr>
              <w:t>Nirjara More</w:t>
            </w:r>
            <w:r w:rsidRPr="00343B35">
              <w:rPr>
                <w:b/>
                <w:color w:val="000000" w:themeColor="text1"/>
              </w:rPr>
              <w:tab/>
            </w:r>
            <w:r w:rsidR="00343B35" w:rsidRPr="00343B35">
              <w:rPr>
                <w:color w:val="000000" w:themeColor="text1"/>
              </w:rPr>
              <w:t>PRN</w:t>
            </w:r>
            <w:r w:rsidRPr="00343B35">
              <w:rPr>
                <w:color w:val="000000" w:themeColor="text1"/>
              </w:rPr>
              <w:t xml:space="preserve"> :</w:t>
            </w:r>
          </w:p>
        </w:tc>
        <w:tc>
          <w:tcPr>
            <w:tcW w:w="1344" w:type="dxa"/>
            <w:tcBorders>
              <w:top w:val="nil"/>
              <w:left w:val="nil"/>
              <w:bottom w:val="nil"/>
              <w:right w:val="nil"/>
            </w:tcBorders>
          </w:tcPr>
          <w:p w14:paraId="5FA5CC2D" w14:textId="1B96E2ED" w:rsidR="005A1726" w:rsidRPr="00343B35" w:rsidRDefault="00103F19">
            <w:pPr>
              <w:spacing w:after="0" w:line="259" w:lineRule="auto"/>
              <w:ind w:left="0" w:firstLine="0"/>
              <w:rPr>
                <w:color w:val="000000" w:themeColor="text1"/>
              </w:rPr>
            </w:pPr>
            <w:r w:rsidRPr="00343B35">
              <w:rPr>
                <w:b/>
                <w:color w:val="000000" w:themeColor="text1"/>
              </w:rPr>
              <w:t>202301100049</w:t>
            </w:r>
          </w:p>
        </w:tc>
      </w:tr>
      <w:tr w:rsidR="00343B35" w:rsidRPr="00343B35" w14:paraId="39E8DF9E" w14:textId="77777777">
        <w:trPr>
          <w:trHeight w:val="400"/>
        </w:trPr>
        <w:tc>
          <w:tcPr>
            <w:tcW w:w="1701" w:type="dxa"/>
            <w:tcBorders>
              <w:top w:val="nil"/>
              <w:left w:val="nil"/>
              <w:bottom w:val="nil"/>
              <w:right w:val="nil"/>
            </w:tcBorders>
            <w:vAlign w:val="center"/>
          </w:tcPr>
          <w:p w14:paraId="10C1ADA3" w14:textId="77777777" w:rsidR="005A1726" w:rsidRPr="00343B35" w:rsidRDefault="00343B35">
            <w:pPr>
              <w:spacing w:after="0" w:line="259" w:lineRule="auto"/>
              <w:ind w:left="0" w:firstLine="0"/>
              <w:jc w:val="left"/>
              <w:rPr>
                <w:color w:val="000000" w:themeColor="text1"/>
              </w:rPr>
            </w:pPr>
            <w:r w:rsidRPr="00343B35">
              <w:rPr>
                <w:color w:val="000000" w:themeColor="text1"/>
              </w:rPr>
              <w:t>Subject :</w:t>
            </w:r>
          </w:p>
        </w:tc>
        <w:tc>
          <w:tcPr>
            <w:tcW w:w="4535" w:type="dxa"/>
            <w:tcBorders>
              <w:top w:val="nil"/>
              <w:left w:val="nil"/>
              <w:bottom w:val="nil"/>
              <w:right w:val="nil"/>
            </w:tcBorders>
            <w:vAlign w:val="center"/>
          </w:tcPr>
          <w:p w14:paraId="712EF318" w14:textId="18683584" w:rsidR="005A1726" w:rsidRPr="00343B35" w:rsidRDefault="00343B35">
            <w:pPr>
              <w:tabs>
                <w:tab w:val="center" w:pos="3385"/>
              </w:tabs>
              <w:spacing w:after="0" w:line="259" w:lineRule="auto"/>
              <w:ind w:left="0" w:firstLine="0"/>
              <w:jc w:val="left"/>
              <w:rPr>
                <w:color w:val="000000" w:themeColor="text1"/>
              </w:rPr>
            </w:pPr>
            <w:r w:rsidRPr="00343B35">
              <w:rPr>
                <w:b/>
                <w:color w:val="000000" w:themeColor="text1"/>
              </w:rPr>
              <w:t>Deep Learning</w:t>
            </w:r>
            <w:r w:rsidRPr="00343B35">
              <w:rPr>
                <w:b/>
                <w:color w:val="000000" w:themeColor="text1"/>
              </w:rPr>
              <w:tab/>
            </w:r>
          </w:p>
        </w:tc>
        <w:tc>
          <w:tcPr>
            <w:tcW w:w="1344" w:type="dxa"/>
            <w:tcBorders>
              <w:top w:val="nil"/>
              <w:left w:val="nil"/>
              <w:bottom w:val="nil"/>
              <w:right w:val="nil"/>
            </w:tcBorders>
            <w:vAlign w:val="center"/>
          </w:tcPr>
          <w:p w14:paraId="3130D85B" w14:textId="022E35B3" w:rsidR="005A1726" w:rsidRPr="00343B35" w:rsidRDefault="005A1726">
            <w:pPr>
              <w:spacing w:after="0" w:line="259" w:lineRule="auto"/>
              <w:ind w:left="0" w:firstLine="0"/>
              <w:jc w:val="left"/>
              <w:rPr>
                <w:color w:val="000000" w:themeColor="text1"/>
              </w:rPr>
            </w:pPr>
          </w:p>
        </w:tc>
      </w:tr>
      <w:tr w:rsidR="00343B35" w:rsidRPr="00343B35" w14:paraId="675DDBAD" w14:textId="77777777">
        <w:trPr>
          <w:trHeight w:val="293"/>
        </w:trPr>
        <w:tc>
          <w:tcPr>
            <w:tcW w:w="1701" w:type="dxa"/>
            <w:tcBorders>
              <w:top w:val="nil"/>
              <w:left w:val="nil"/>
              <w:bottom w:val="nil"/>
              <w:right w:val="nil"/>
            </w:tcBorders>
            <w:vAlign w:val="bottom"/>
          </w:tcPr>
          <w:p w14:paraId="35D791F5" w14:textId="77777777" w:rsidR="005A1726" w:rsidRPr="00343B35" w:rsidRDefault="00343B35">
            <w:pPr>
              <w:spacing w:after="0" w:line="259" w:lineRule="auto"/>
              <w:ind w:left="0" w:firstLine="0"/>
              <w:jc w:val="left"/>
              <w:rPr>
                <w:color w:val="000000" w:themeColor="text1"/>
              </w:rPr>
            </w:pPr>
            <w:r w:rsidRPr="00343B35">
              <w:rPr>
                <w:color w:val="000000" w:themeColor="text1"/>
              </w:rPr>
              <w:t>Paper :</w:t>
            </w:r>
          </w:p>
        </w:tc>
        <w:tc>
          <w:tcPr>
            <w:tcW w:w="4535" w:type="dxa"/>
            <w:tcBorders>
              <w:top w:val="nil"/>
              <w:left w:val="nil"/>
              <w:bottom w:val="nil"/>
              <w:right w:val="nil"/>
            </w:tcBorders>
            <w:vAlign w:val="bottom"/>
          </w:tcPr>
          <w:p w14:paraId="2A072A83" w14:textId="200CB0E3" w:rsidR="005A1726" w:rsidRPr="00343B35" w:rsidRDefault="00343B35">
            <w:pPr>
              <w:spacing w:after="0" w:line="259" w:lineRule="auto"/>
              <w:ind w:left="0" w:firstLine="0"/>
              <w:jc w:val="left"/>
              <w:rPr>
                <w:color w:val="000000" w:themeColor="text1"/>
              </w:rPr>
            </w:pPr>
            <w:r w:rsidRPr="00343B35">
              <w:rPr>
                <w:b/>
                <w:color w:val="000000" w:themeColor="text1"/>
              </w:rPr>
              <w:t xml:space="preserve">Seq2Seq </w:t>
            </w:r>
            <w:r w:rsidRPr="00343B35">
              <w:rPr>
                <w:b/>
                <w:color w:val="000000" w:themeColor="text1"/>
              </w:rPr>
              <w:t>with Attention (IJRAR 2024)</w:t>
            </w:r>
          </w:p>
        </w:tc>
        <w:tc>
          <w:tcPr>
            <w:tcW w:w="1344" w:type="dxa"/>
            <w:tcBorders>
              <w:top w:val="nil"/>
              <w:left w:val="nil"/>
              <w:bottom w:val="nil"/>
              <w:right w:val="nil"/>
            </w:tcBorders>
            <w:vAlign w:val="bottom"/>
          </w:tcPr>
          <w:p w14:paraId="6FF6BA81" w14:textId="5185C1AA" w:rsidR="005A1726" w:rsidRPr="00343B35" w:rsidRDefault="005A1726">
            <w:pPr>
              <w:spacing w:after="0" w:line="259" w:lineRule="auto"/>
              <w:ind w:left="0" w:firstLine="0"/>
              <w:jc w:val="left"/>
              <w:rPr>
                <w:color w:val="000000" w:themeColor="text1"/>
              </w:rPr>
            </w:pPr>
          </w:p>
        </w:tc>
      </w:tr>
    </w:tbl>
    <w:p w14:paraId="16C15C95" w14:textId="77777777" w:rsidR="005A1726" w:rsidRPr="00343B35" w:rsidRDefault="00343B35">
      <w:pPr>
        <w:spacing w:after="543" w:line="259" w:lineRule="auto"/>
        <w:ind w:left="0" w:firstLine="0"/>
        <w:jc w:val="left"/>
        <w:rPr>
          <w:color w:val="000000" w:themeColor="text1"/>
        </w:rPr>
      </w:pPr>
      <w:r w:rsidRPr="00343B35">
        <w:rPr>
          <w:rFonts w:ascii="Calibri" w:eastAsia="Calibri" w:hAnsi="Calibri" w:cs="Calibri"/>
          <w:noProof/>
          <w:color w:val="000000" w:themeColor="text1"/>
          <w:sz w:val="22"/>
        </w:rPr>
        <mc:AlternateContent>
          <mc:Choice Requires="wpg">
            <w:drawing>
              <wp:inline distT="0" distB="0" distL="0" distR="0" wp14:anchorId="2E024ADF" wp14:editId="28FF2368">
                <wp:extent cx="5967601" cy="12700"/>
                <wp:effectExtent l="0" t="0" r="0" b="0"/>
                <wp:docPr id="4726" name="Group 47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3" name="Shape 2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4726" style="width:469.89pt;height:1pt;mso-position-horizontal-relative:char;mso-position-vertical-relative:line" coordsize="59676,127">
                <v:shape id="Shape 23" style="position:absolute;width:59676;height:0;left:0;top:0;" coordsize="5967601,0" path="m0,0l5967601,0">
                  <v:stroke weight="1pt" endcap="round" joinstyle="miter" miterlimit="10" on="true" color="#cccccc"/>
                  <v:fill on="false" color="#000000" opacity="0"/>
                </v:shape>
              </v:group>
            </w:pict>
          </mc:Fallback>
        </mc:AlternateContent>
      </w:r>
    </w:p>
    <w:p w14:paraId="130986B7" w14:textId="77777777" w:rsidR="005A1726" w:rsidRPr="00343B35" w:rsidRDefault="00343B35">
      <w:pPr>
        <w:pStyle w:val="Heading2"/>
        <w:spacing w:after="177"/>
        <w:ind w:left="-5"/>
        <w:rPr>
          <w:color w:val="000000" w:themeColor="text1"/>
        </w:rPr>
      </w:pPr>
      <w:r w:rsidRPr="00343B35">
        <w:rPr>
          <w:color w:val="000000" w:themeColor="text1"/>
        </w:rPr>
        <w:t>Abstract</w:t>
      </w:r>
    </w:p>
    <w:p w14:paraId="6F81D200" w14:textId="77777777" w:rsidR="005A1726" w:rsidRPr="00343B35" w:rsidRDefault="00343B35">
      <w:pPr>
        <w:spacing w:after="349"/>
        <w:ind w:left="-5"/>
        <w:rPr>
          <w:color w:val="000000" w:themeColor="text1"/>
        </w:rPr>
      </w:pPr>
      <w:r w:rsidRPr="00343B35">
        <w:rPr>
          <w:color w:val="000000" w:themeColor="text1"/>
        </w:rPr>
        <w:t xml:space="preserve">This report presents a complete study of Encoder-Decoder sequence-to-sequence (Seq2Seq) models, focusing on the impact of the </w:t>
      </w:r>
      <w:proofErr w:type="spellStart"/>
      <w:r w:rsidRPr="00343B35">
        <w:rPr>
          <w:color w:val="000000" w:themeColor="text1"/>
        </w:rPr>
        <w:t>Bahdanau</w:t>
      </w:r>
      <w:proofErr w:type="spellEnd"/>
      <w:r w:rsidRPr="00343B35">
        <w:rPr>
          <w:color w:val="000000" w:themeColor="text1"/>
        </w:rPr>
        <w:t xml:space="preserve"> attention mechanism. We review a recent research paper, implement both </w:t>
      </w:r>
      <w:r w:rsidRPr="00343B35">
        <w:rPr>
          <w:color w:val="000000" w:themeColor="text1"/>
        </w:rPr>
        <w:t>a baseline model (without attention) and an attention-augmented model, train both on a controlled character-level number-word translation task, and compare their performance across multiple metrics including exact-match accuracy, BLEU-1 score, and training</w:t>
      </w:r>
      <w:r w:rsidRPr="00343B35">
        <w:rPr>
          <w:color w:val="000000" w:themeColor="text1"/>
        </w:rPr>
        <w:t xml:space="preserve"> loss. Our results confirm that the attention mechanism provides a statistically meaningful improvement in all metrics, with the attention model achieving 100% accuracy versus 89.2% for the baseline.</w:t>
      </w:r>
    </w:p>
    <w:p w14:paraId="62623AB1" w14:textId="77777777" w:rsidR="005A1726" w:rsidRPr="00343B35" w:rsidRDefault="00343B35">
      <w:pPr>
        <w:pStyle w:val="Heading2"/>
        <w:ind w:left="-5"/>
        <w:rPr>
          <w:color w:val="000000" w:themeColor="text1"/>
        </w:rPr>
      </w:pPr>
      <w:r w:rsidRPr="00343B35">
        <w:rPr>
          <w:color w:val="000000" w:themeColor="text1"/>
        </w:rPr>
        <w:t>Part 1: Research Paper Review</w:t>
      </w:r>
    </w:p>
    <w:p w14:paraId="6D727955" w14:textId="77777777" w:rsidR="005A1726" w:rsidRPr="00343B35" w:rsidRDefault="00343B35">
      <w:pPr>
        <w:pStyle w:val="Heading3"/>
        <w:ind w:left="-5"/>
        <w:rPr>
          <w:color w:val="000000" w:themeColor="text1"/>
        </w:rPr>
      </w:pPr>
      <w:r w:rsidRPr="00343B35">
        <w:rPr>
          <w:color w:val="000000" w:themeColor="text1"/>
        </w:rPr>
        <w:t>1.1 Selected Paper</w:t>
      </w:r>
    </w:p>
    <w:p w14:paraId="5BA59455" w14:textId="77777777" w:rsidR="005A1726" w:rsidRPr="00343B35" w:rsidRDefault="00343B35">
      <w:pPr>
        <w:spacing w:after="15"/>
        <w:ind w:left="-5"/>
        <w:rPr>
          <w:color w:val="000000" w:themeColor="text1"/>
        </w:rPr>
      </w:pPr>
      <w:r w:rsidRPr="00343B35">
        <w:rPr>
          <w:b/>
          <w:color w:val="000000" w:themeColor="text1"/>
        </w:rPr>
        <w:t>Title:</w:t>
      </w:r>
      <w:r w:rsidRPr="00343B35">
        <w:rPr>
          <w:color w:val="000000" w:themeColor="text1"/>
        </w:rPr>
        <w:t xml:space="preserve"> </w:t>
      </w:r>
      <w:r w:rsidRPr="00343B35">
        <w:rPr>
          <w:color w:val="000000" w:themeColor="text1"/>
        </w:rPr>
        <w:t>Seq2Seq with Attention for Abstractive Text Summarization (2024–2025)</w:t>
      </w:r>
    </w:p>
    <w:p w14:paraId="7A3874CA" w14:textId="77777777" w:rsidR="005A1726" w:rsidRPr="00343B35" w:rsidRDefault="00343B35">
      <w:pPr>
        <w:spacing w:after="15"/>
        <w:ind w:left="-5"/>
        <w:rPr>
          <w:color w:val="000000" w:themeColor="text1"/>
        </w:rPr>
      </w:pPr>
      <w:r w:rsidRPr="00343B35">
        <w:rPr>
          <w:b/>
          <w:color w:val="000000" w:themeColor="text1"/>
        </w:rPr>
        <w:t>Reference:</w:t>
      </w:r>
      <w:r w:rsidRPr="00343B35">
        <w:rPr>
          <w:color w:val="000000" w:themeColor="text1"/>
        </w:rPr>
        <w:t xml:space="preserve"> IJRAR24D2346 — https://ijrar.org/papers/IJRAR24D2346.pdf</w:t>
      </w:r>
    </w:p>
    <w:p w14:paraId="62E56982" w14:textId="77777777" w:rsidR="005A1726" w:rsidRPr="00343B35" w:rsidRDefault="00343B35">
      <w:pPr>
        <w:ind w:left="-5"/>
        <w:rPr>
          <w:color w:val="000000" w:themeColor="text1"/>
        </w:rPr>
      </w:pPr>
      <w:r w:rsidRPr="00343B35">
        <w:rPr>
          <w:b/>
          <w:color w:val="000000" w:themeColor="text1"/>
        </w:rPr>
        <w:t>Supporting Paper:</w:t>
      </w:r>
      <w:r w:rsidRPr="00343B35">
        <w:rPr>
          <w:color w:val="000000" w:themeColor="text1"/>
        </w:rPr>
        <w:t xml:space="preserve"> Decoder-Only </w:t>
      </w:r>
      <w:proofErr w:type="gramStart"/>
      <w:r w:rsidRPr="00343B35">
        <w:rPr>
          <w:color w:val="000000" w:themeColor="text1"/>
        </w:rPr>
        <w:t>vs</w:t>
      </w:r>
      <w:proofErr w:type="gramEnd"/>
      <w:r w:rsidRPr="00343B35">
        <w:rPr>
          <w:color w:val="000000" w:themeColor="text1"/>
        </w:rPr>
        <w:t xml:space="preserve"> Encoder-Decoder: A Comparative Study (</w:t>
      </w:r>
      <w:proofErr w:type="spellStart"/>
      <w:r w:rsidRPr="00343B35">
        <w:rPr>
          <w:color w:val="000000" w:themeColor="text1"/>
        </w:rPr>
        <w:t>ArXiv</w:t>
      </w:r>
      <w:proofErr w:type="spellEnd"/>
      <w:r w:rsidRPr="00343B35">
        <w:rPr>
          <w:color w:val="000000" w:themeColor="text1"/>
        </w:rPr>
        <w:t xml:space="preserve"> 2304.04052, 2023)</w:t>
      </w:r>
    </w:p>
    <w:p w14:paraId="160D9172" w14:textId="77777777" w:rsidR="005A1726" w:rsidRPr="00343B35" w:rsidRDefault="00343B35">
      <w:pPr>
        <w:pStyle w:val="Heading3"/>
        <w:ind w:left="-5"/>
        <w:rPr>
          <w:color w:val="000000" w:themeColor="text1"/>
        </w:rPr>
      </w:pPr>
      <w:r w:rsidRPr="00343B35">
        <w:rPr>
          <w:color w:val="000000" w:themeColor="text1"/>
        </w:rPr>
        <w:t>1.2 Problem Statement</w:t>
      </w:r>
    </w:p>
    <w:p w14:paraId="21918780" w14:textId="77777777" w:rsidR="005A1726" w:rsidRPr="00343B35" w:rsidRDefault="00343B35">
      <w:pPr>
        <w:ind w:left="-5"/>
        <w:rPr>
          <w:color w:val="000000" w:themeColor="text1"/>
        </w:rPr>
      </w:pPr>
      <w:r w:rsidRPr="00343B35">
        <w:rPr>
          <w:color w:val="000000" w:themeColor="text1"/>
        </w:rPr>
        <w:t>Standard Recurrent Neural Network (RNN) based Encoder-Decoder models compress the entire input sequence into a single fixed-size context vector before decoding begins. This creates an information bottleneck — for longer input sequences, the model is forced</w:t>
      </w:r>
      <w:r w:rsidRPr="00343B35">
        <w:rPr>
          <w:color w:val="000000" w:themeColor="text1"/>
        </w:rPr>
        <w:t xml:space="preserve"> to encode all semantic content into one vector, leading to significant information loss, especially for tokens that appear early in the input. The attention mechanism was proposed to address this limitation by allowing the decoder to dynamically access al</w:t>
      </w:r>
      <w:r w:rsidRPr="00343B35">
        <w:rPr>
          <w:color w:val="000000" w:themeColor="text1"/>
        </w:rPr>
        <w:t>l encoder hidden states at every decoding step.</w:t>
      </w:r>
    </w:p>
    <w:p w14:paraId="6707FF1B" w14:textId="77777777" w:rsidR="005A1726" w:rsidRPr="00343B35" w:rsidRDefault="00343B35">
      <w:pPr>
        <w:pStyle w:val="Heading3"/>
        <w:ind w:left="-5"/>
        <w:rPr>
          <w:color w:val="000000" w:themeColor="text1"/>
        </w:rPr>
      </w:pPr>
      <w:r w:rsidRPr="00343B35">
        <w:rPr>
          <w:color w:val="000000" w:themeColor="text1"/>
        </w:rPr>
        <w:t>1.3 Architecture</w:t>
      </w:r>
    </w:p>
    <w:p w14:paraId="38D2A532" w14:textId="77777777" w:rsidR="005A1726" w:rsidRPr="00343B35" w:rsidRDefault="00343B35">
      <w:pPr>
        <w:ind w:left="-5"/>
        <w:rPr>
          <w:color w:val="000000" w:themeColor="text1"/>
        </w:rPr>
      </w:pPr>
      <w:r w:rsidRPr="00343B35">
        <w:rPr>
          <w:color w:val="000000" w:themeColor="text1"/>
        </w:rPr>
        <w:t xml:space="preserve">The architecture consists of three components: (1) </w:t>
      </w:r>
      <w:r w:rsidRPr="00343B35">
        <w:rPr>
          <w:b/>
          <w:color w:val="000000" w:themeColor="text1"/>
        </w:rPr>
        <w:t>Encoder</w:t>
      </w:r>
      <w:r w:rsidRPr="00343B35">
        <w:rPr>
          <w:color w:val="000000" w:themeColor="text1"/>
        </w:rPr>
        <w:t xml:space="preserve"> — a bidirectional GRU/LSTM that processes the input sequence and produces a hidden state at each time step; (2) </w:t>
      </w:r>
      <w:r w:rsidRPr="00343B35">
        <w:rPr>
          <w:b/>
          <w:color w:val="000000" w:themeColor="text1"/>
        </w:rPr>
        <w:t>Attention Module</w:t>
      </w:r>
      <w:r w:rsidRPr="00343B35">
        <w:rPr>
          <w:color w:val="000000" w:themeColor="text1"/>
        </w:rPr>
        <w:t xml:space="preserve"> — c</w:t>
      </w:r>
      <w:r w:rsidRPr="00343B35">
        <w:rPr>
          <w:color w:val="000000" w:themeColor="text1"/>
        </w:rPr>
        <w:t xml:space="preserve">omputes alignment scores between each encoder hidden state and the current decoder state; (3) </w:t>
      </w:r>
      <w:r w:rsidRPr="00343B35">
        <w:rPr>
          <w:b/>
          <w:color w:val="000000" w:themeColor="text1"/>
        </w:rPr>
        <w:t>Decoder</w:t>
      </w:r>
      <w:r w:rsidRPr="00343B35">
        <w:rPr>
          <w:color w:val="000000" w:themeColor="text1"/>
        </w:rPr>
        <w:t xml:space="preserve"> — a GRU/LSTM that generates output tokens one at a time, conditioned on the attention-weighted context vector.</w:t>
      </w:r>
    </w:p>
    <w:p w14:paraId="041848B5" w14:textId="77777777" w:rsidR="005A1726" w:rsidRPr="00343B35" w:rsidRDefault="00343B35">
      <w:pPr>
        <w:pStyle w:val="Heading3"/>
        <w:ind w:left="-5"/>
        <w:rPr>
          <w:color w:val="000000" w:themeColor="text1"/>
        </w:rPr>
      </w:pPr>
      <w:r w:rsidRPr="00343B35">
        <w:rPr>
          <w:color w:val="000000" w:themeColor="text1"/>
        </w:rPr>
        <w:lastRenderedPageBreak/>
        <w:t xml:space="preserve">1.4 Type of Attention: </w:t>
      </w:r>
      <w:proofErr w:type="spellStart"/>
      <w:r w:rsidRPr="00343B35">
        <w:rPr>
          <w:color w:val="000000" w:themeColor="text1"/>
        </w:rPr>
        <w:t>Bahdanau</w:t>
      </w:r>
      <w:proofErr w:type="spellEnd"/>
      <w:r w:rsidRPr="00343B35">
        <w:rPr>
          <w:color w:val="000000" w:themeColor="text1"/>
        </w:rPr>
        <w:t xml:space="preserve"> (Additive) </w:t>
      </w:r>
      <w:r w:rsidRPr="00343B35">
        <w:rPr>
          <w:color w:val="000000" w:themeColor="text1"/>
        </w:rPr>
        <w:t>Attention</w:t>
      </w:r>
    </w:p>
    <w:p w14:paraId="32A9FD8E" w14:textId="77777777" w:rsidR="005A1726" w:rsidRPr="00343B35" w:rsidRDefault="00343B35">
      <w:pPr>
        <w:spacing w:after="191"/>
        <w:ind w:left="-5"/>
        <w:rPr>
          <w:color w:val="000000" w:themeColor="text1"/>
        </w:rPr>
      </w:pPr>
      <w:r w:rsidRPr="00343B35">
        <w:rPr>
          <w:color w:val="000000" w:themeColor="text1"/>
        </w:rPr>
        <w:t xml:space="preserve">The paper uses </w:t>
      </w:r>
      <w:proofErr w:type="spellStart"/>
      <w:r w:rsidRPr="00343B35">
        <w:rPr>
          <w:color w:val="000000" w:themeColor="text1"/>
        </w:rPr>
        <w:t>Bahdanau</w:t>
      </w:r>
      <w:proofErr w:type="spellEnd"/>
      <w:r w:rsidRPr="00343B35">
        <w:rPr>
          <w:color w:val="000000" w:themeColor="text1"/>
        </w:rPr>
        <w:t xml:space="preserve"> attention (2015), also called additive attention. The alignment score is computed as:</w:t>
      </w:r>
    </w:p>
    <w:p w14:paraId="3E70F419" w14:textId="77777777" w:rsidR="005A1726" w:rsidRPr="00343B35" w:rsidRDefault="00343B35">
      <w:pPr>
        <w:spacing w:after="180" w:line="216" w:lineRule="auto"/>
        <w:ind w:left="1456" w:right="5228" w:hanging="656"/>
        <w:jc w:val="left"/>
        <w:rPr>
          <w:color w:val="000000" w:themeColor="text1"/>
        </w:rPr>
      </w:pPr>
      <w:proofErr w:type="gramStart"/>
      <w:r w:rsidRPr="00343B35">
        <w:rPr>
          <w:i/>
          <w:color w:val="000000" w:themeColor="text1"/>
        </w:rPr>
        <w:t>score(</w:t>
      </w:r>
      <w:proofErr w:type="gramEnd"/>
      <w:r w:rsidRPr="00343B35">
        <w:rPr>
          <w:i/>
          <w:color w:val="000000" w:themeColor="text1"/>
        </w:rPr>
        <w:t xml:space="preserve">s , h) = </w:t>
      </w:r>
      <w:proofErr w:type="spellStart"/>
      <w:r w:rsidRPr="00343B35">
        <w:rPr>
          <w:i/>
          <w:color w:val="000000" w:themeColor="text1"/>
        </w:rPr>
        <w:t>v</w:t>
      </w:r>
      <w:r w:rsidRPr="00343B35">
        <w:rPr>
          <w:i/>
          <w:color w:val="000000" w:themeColor="text1"/>
          <w:sz w:val="25"/>
          <w:vertAlign w:val="superscript"/>
        </w:rPr>
        <w:t>T</w:t>
      </w:r>
      <w:proofErr w:type="spellEnd"/>
      <w:r w:rsidRPr="00343B35">
        <w:rPr>
          <w:i/>
          <w:color w:val="000000" w:themeColor="text1"/>
        </w:rPr>
        <w:t xml:space="preserve"> · </w:t>
      </w:r>
      <w:proofErr w:type="spellStart"/>
      <w:r w:rsidRPr="00343B35">
        <w:rPr>
          <w:i/>
          <w:color w:val="000000" w:themeColor="text1"/>
        </w:rPr>
        <w:t>tanh</w:t>
      </w:r>
      <w:proofErr w:type="spellEnd"/>
      <w:r w:rsidRPr="00343B35">
        <w:rPr>
          <w:i/>
          <w:color w:val="000000" w:themeColor="text1"/>
        </w:rPr>
        <w:t xml:space="preserve">(W ·h + W ·s ) </w:t>
      </w:r>
      <w:r w:rsidRPr="00343B35">
        <w:rPr>
          <w:i/>
          <w:color w:val="000000" w:themeColor="text1"/>
          <w:sz w:val="16"/>
        </w:rPr>
        <w:t>t</w:t>
      </w:r>
      <w:r w:rsidRPr="00343B35">
        <w:rPr>
          <w:i/>
          <w:color w:val="000000" w:themeColor="text1"/>
          <w:sz w:val="16"/>
        </w:rPr>
        <w:tab/>
      </w:r>
      <w:proofErr w:type="spellStart"/>
      <w:r w:rsidRPr="00343B35">
        <w:rPr>
          <w:i/>
          <w:color w:val="000000" w:themeColor="text1"/>
          <w:sz w:val="16"/>
        </w:rPr>
        <w:t>i</w:t>
      </w:r>
      <w:proofErr w:type="spellEnd"/>
      <w:r w:rsidRPr="00343B35">
        <w:rPr>
          <w:i/>
          <w:color w:val="000000" w:themeColor="text1"/>
          <w:sz w:val="16"/>
        </w:rPr>
        <w:tab/>
        <w:t>1</w:t>
      </w:r>
      <w:r w:rsidRPr="00343B35">
        <w:rPr>
          <w:i/>
          <w:color w:val="000000" w:themeColor="text1"/>
          <w:sz w:val="16"/>
        </w:rPr>
        <w:tab/>
      </w:r>
      <w:proofErr w:type="spellStart"/>
      <w:r w:rsidRPr="00343B35">
        <w:rPr>
          <w:i/>
          <w:color w:val="000000" w:themeColor="text1"/>
          <w:sz w:val="16"/>
        </w:rPr>
        <w:t>i</w:t>
      </w:r>
      <w:proofErr w:type="spellEnd"/>
      <w:r w:rsidRPr="00343B35">
        <w:rPr>
          <w:i/>
          <w:color w:val="000000" w:themeColor="text1"/>
          <w:sz w:val="16"/>
        </w:rPr>
        <w:tab/>
        <w:t>2</w:t>
      </w:r>
      <w:r w:rsidRPr="00343B35">
        <w:rPr>
          <w:i/>
          <w:color w:val="000000" w:themeColor="text1"/>
          <w:sz w:val="16"/>
        </w:rPr>
        <w:tab/>
        <w:t>t</w:t>
      </w:r>
    </w:p>
    <w:p w14:paraId="0E512FD0" w14:textId="77777777" w:rsidR="005A1726" w:rsidRPr="00343B35" w:rsidRDefault="00343B35">
      <w:pPr>
        <w:spacing w:after="40" w:line="216" w:lineRule="auto"/>
        <w:ind w:left="707" w:hanging="722"/>
        <w:rPr>
          <w:color w:val="000000" w:themeColor="text1"/>
        </w:rPr>
      </w:pPr>
      <w:r w:rsidRPr="00343B35">
        <w:rPr>
          <w:color w:val="000000" w:themeColor="text1"/>
        </w:rPr>
        <w:t xml:space="preserve">where h is the encoder hidden state at step </w:t>
      </w:r>
      <w:proofErr w:type="spellStart"/>
      <w:r w:rsidRPr="00343B35">
        <w:rPr>
          <w:color w:val="000000" w:themeColor="text1"/>
        </w:rPr>
        <w:t>i</w:t>
      </w:r>
      <w:proofErr w:type="spellEnd"/>
      <w:r w:rsidRPr="00343B35">
        <w:rPr>
          <w:color w:val="000000" w:themeColor="text1"/>
        </w:rPr>
        <w:t xml:space="preserve">, s is the decoder hidden state at step </w:t>
      </w:r>
      <w:r w:rsidRPr="00343B35">
        <w:rPr>
          <w:color w:val="000000" w:themeColor="text1"/>
        </w:rPr>
        <w:t xml:space="preserve">t, and v, </w:t>
      </w:r>
      <w:proofErr w:type="gramStart"/>
      <w:r w:rsidRPr="00343B35">
        <w:rPr>
          <w:color w:val="000000" w:themeColor="text1"/>
        </w:rPr>
        <w:t>W ,</w:t>
      </w:r>
      <w:proofErr w:type="gramEnd"/>
      <w:r w:rsidRPr="00343B35">
        <w:rPr>
          <w:color w:val="000000" w:themeColor="text1"/>
        </w:rPr>
        <w:t xml:space="preserve"> </w:t>
      </w:r>
      <w:proofErr w:type="spellStart"/>
      <w:r w:rsidRPr="00343B35">
        <w:rPr>
          <w:color w:val="000000" w:themeColor="text1"/>
        </w:rPr>
        <w:t>W are</w:t>
      </w:r>
      <w:proofErr w:type="spellEnd"/>
      <w:r w:rsidRPr="00343B35">
        <w:rPr>
          <w:color w:val="000000" w:themeColor="text1"/>
        </w:rPr>
        <w:t xml:space="preserve"> </w:t>
      </w:r>
      <w:proofErr w:type="spellStart"/>
      <w:r w:rsidRPr="00343B35">
        <w:rPr>
          <w:color w:val="000000" w:themeColor="text1"/>
          <w:sz w:val="16"/>
        </w:rPr>
        <w:t>i</w:t>
      </w:r>
      <w:proofErr w:type="spellEnd"/>
      <w:r w:rsidRPr="00343B35">
        <w:rPr>
          <w:color w:val="000000" w:themeColor="text1"/>
          <w:sz w:val="16"/>
        </w:rPr>
        <w:t xml:space="preserve"> t</w:t>
      </w:r>
      <w:r w:rsidRPr="00343B35">
        <w:rPr>
          <w:color w:val="000000" w:themeColor="text1"/>
          <w:sz w:val="16"/>
        </w:rPr>
        <w:tab/>
        <w:t>1 2</w:t>
      </w:r>
    </w:p>
    <w:p w14:paraId="5BA3F209" w14:textId="77777777" w:rsidR="005A1726" w:rsidRPr="00343B35" w:rsidRDefault="00343B35">
      <w:pPr>
        <w:ind w:left="-5"/>
        <w:rPr>
          <w:color w:val="000000" w:themeColor="text1"/>
        </w:rPr>
      </w:pPr>
      <w:r w:rsidRPr="00343B35">
        <w:rPr>
          <w:color w:val="000000" w:themeColor="text1"/>
        </w:rPr>
        <w:t xml:space="preserve">learned parameters. A </w:t>
      </w:r>
      <w:proofErr w:type="spellStart"/>
      <w:r w:rsidRPr="00343B35">
        <w:rPr>
          <w:color w:val="000000" w:themeColor="text1"/>
        </w:rPr>
        <w:t>softmax</w:t>
      </w:r>
      <w:proofErr w:type="spellEnd"/>
      <w:r w:rsidRPr="00343B35">
        <w:rPr>
          <w:color w:val="000000" w:themeColor="text1"/>
        </w:rPr>
        <w:t xml:space="preserve"> is applied to produce attention weights that sum to 1 over all encoder positions.</w:t>
      </w:r>
    </w:p>
    <w:p w14:paraId="3B893B4E" w14:textId="77777777" w:rsidR="005A1726" w:rsidRPr="00343B35" w:rsidRDefault="00343B35">
      <w:pPr>
        <w:pStyle w:val="Heading3"/>
        <w:ind w:left="-5"/>
        <w:rPr>
          <w:color w:val="000000" w:themeColor="text1"/>
        </w:rPr>
      </w:pPr>
      <w:r w:rsidRPr="00343B35">
        <w:rPr>
          <w:color w:val="000000" w:themeColor="text1"/>
        </w:rPr>
        <w:t>1.5 Dataset and Key Contributions</w:t>
      </w:r>
    </w:p>
    <w:p w14:paraId="1AB4F8BA" w14:textId="77777777" w:rsidR="005A1726" w:rsidRPr="00343B35" w:rsidRDefault="00343B35">
      <w:pPr>
        <w:ind w:left="-5"/>
        <w:rPr>
          <w:color w:val="000000" w:themeColor="text1"/>
        </w:rPr>
      </w:pPr>
      <w:r w:rsidRPr="00343B35">
        <w:rPr>
          <w:color w:val="000000" w:themeColor="text1"/>
        </w:rPr>
        <w:t>The paper evaluates on the CNN/</w:t>
      </w:r>
      <w:proofErr w:type="spellStart"/>
      <w:r w:rsidRPr="00343B35">
        <w:rPr>
          <w:color w:val="000000" w:themeColor="text1"/>
        </w:rPr>
        <w:t>DailyMail</w:t>
      </w:r>
      <w:proofErr w:type="spellEnd"/>
      <w:r w:rsidRPr="00343B35">
        <w:rPr>
          <w:color w:val="000000" w:themeColor="text1"/>
        </w:rPr>
        <w:t xml:space="preserve"> summarization benchmark. Key </w:t>
      </w:r>
      <w:r w:rsidRPr="00343B35">
        <w:rPr>
          <w:color w:val="000000" w:themeColor="text1"/>
        </w:rPr>
        <w:t xml:space="preserve">contributions include: (1) demonstration that attention improves ROUGE-1 from 35.1 to 42.3; (2) evidence that attention helps capture long-range dependencies in documents; (3) interpretability via attention </w:t>
      </w:r>
      <w:proofErr w:type="spellStart"/>
      <w:r w:rsidRPr="00343B35">
        <w:rPr>
          <w:color w:val="000000" w:themeColor="text1"/>
        </w:rPr>
        <w:t>heatmaps</w:t>
      </w:r>
      <w:proofErr w:type="spellEnd"/>
      <w:r w:rsidRPr="00343B35">
        <w:rPr>
          <w:color w:val="000000" w:themeColor="text1"/>
        </w:rPr>
        <w:t xml:space="preserve"> showing source-target alignment.</w:t>
      </w:r>
    </w:p>
    <w:p w14:paraId="2BB6C5CC" w14:textId="77777777" w:rsidR="005A1726" w:rsidRPr="00343B35" w:rsidRDefault="00343B35">
      <w:pPr>
        <w:pStyle w:val="Heading3"/>
        <w:ind w:left="-5"/>
        <w:rPr>
          <w:color w:val="000000" w:themeColor="text1"/>
        </w:rPr>
      </w:pPr>
      <w:r w:rsidRPr="00343B35">
        <w:rPr>
          <w:color w:val="000000" w:themeColor="text1"/>
        </w:rPr>
        <w:t>1.6 Lim</w:t>
      </w:r>
      <w:r w:rsidRPr="00343B35">
        <w:rPr>
          <w:color w:val="000000" w:themeColor="text1"/>
        </w:rPr>
        <w:t>itations</w:t>
      </w:r>
    </w:p>
    <w:p w14:paraId="1DCEEEDD" w14:textId="77777777" w:rsidR="005A1726" w:rsidRPr="00343B35" w:rsidRDefault="00343B35">
      <w:pPr>
        <w:numPr>
          <w:ilvl w:val="0"/>
          <w:numId w:val="1"/>
        </w:numPr>
        <w:spacing w:after="55"/>
        <w:ind w:hanging="126"/>
        <w:rPr>
          <w:color w:val="000000" w:themeColor="text1"/>
        </w:rPr>
      </w:pPr>
      <w:r w:rsidRPr="00343B35">
        <w:rPr>
          <w:color w:val="000000" w:themeColor="text1"/>
        </w:rPr>
        <w:t>Quadratic O(n²) complexity in sequence length for the attention computation</w:t>
      </w:r>
    </w:p>
    <w:p w14:paraId="26AE6044" w14:textId="77777777" w:rsidR="005A1726" w:rsidRPr="00343B35" w:rsidRDefault="00343B35">
      <w:pPr>
        <w:numPr>
          <w:ilvl w:val="0"/>
          <w:numId w:val="1"/>
        </w:numPr>
        <w:spacing w:after="55"/>
        <w:ind w:hanging="126"/>
        <w:rPr>
          <w:color w:val="000000" w:themeColor="text1"/>
        </w:rPr>
      </w:pPr>
      <w:r w:rsidRPr="00343B35">
        <w:rPr>
          <w:color w:val="000000" w:themeColor="text1"/>
        </w:rPr>
        <w:t>The RNN encoder is still sequential, limiting parallelization compared to Transformers</w:t>
      </w:r>
    </w:p>
    <w:p w14:paraId="0AAFCB3A" w14:textId="77777777" w:rsidR="005A1726" w:rsidRPr="00343B35" w:rsidRDefault="00343B35">
      <w:pPr>
        <w:numPr>
          <w:ilvl w:val="0"/>
          <w:numId w:val="1"/>
        </w:numPr>
        <w:spacing w:after="55"/>
        <w:ind w:hanging="126"/>
        <w:rPr>
          <w:color w:val="000000" w:themeColor="text1"/>
        </w:rPr>
      </w:pPr>
      <w:r w:rsidRPr="00343B35">
        <w:rPr>
          <w:color w:val="000000" w:themeColor="text1"/>
        </w:rPr>
        <w:t>Performance degrades on very long documents without chunking strategies</w:t>
      </w:r>
    </w:p>
    <w:p w14:paraId="15141E3B" w14:textId="77777777" w:rsidR="005A1726" w:rsidRPr="00343B35" w:rsidRDefault="00343B35">
      <w:pPr>
        <w:numPr>
          <w:ilvl w:val="0"/>
          <w:numId w:val="1"/>
        </w:numPr>
        <w:ind w:hanging="126"/>
        <w:rPr>
          <w:color w:val="000000" w:themeColor="text1"/>
        </w:rPr>
      </w:pPr>
      <w:r w:rsidRPr="00343B35">
        <w:rPr>
          <w:color w:val="000000" w:themeColor="text1"/>
        </w:rPr>
        <w:t>Multi-head s</w:t>
      </w:r>
      <w:r w:rsidRPr="00343B35">
        <w:rPr>
          <w:color w:val="000000" w:themeColor="text1"/>
        </w:rPr>
        <w:t>elf-attention in Transformers has outperformed this approach at scale</w:t>
      </w:r>
    </w:p>
    <w:p w14:paraId="3FD86CB7" w14:textId="77777777" w:rsidR="005A1726" w:rsidRPr="00343B35" w:rsidRDefault="00343B35">
      <w:pPr>
        <w:pStyle w:val="Heading2"/>
        <w:ind w:left="-5"/>
        <w:rPr>
          <w:color w:val="000000" w:themeColor="text1"/>
        </w:rPr>
      </w:pPr>
      <w:r w:rsidRPr="00343B35">
        <w:rPr>
          <w:color w:val="000000" w:themeColor="text1"/>
        </w:rPr>
        <w:t>Part 2: Implementation — Code Structure</w:t>
      </w:r>
    </w:p>
    <w:p w14:paraId="6CCF738E" w14:textId="77777777" w:rsidR="005A1726" w:rsidRPr="00343B35" w:rsidRDefault="00343B35">
      <w:pPr>
        <w:pStyle w:val="Heading3"/>
        <w:ind w:left="-5"/>
        <w:rPr>
          <w:color w:val="000000" w:themeColor="text1"/>
        </w:rPr>
      </w:pPr>
      <w:r w:rsidRPr="00343B35">
        <w:rPr>
          <w:color w:val="000000" w:themeColor="text1"/>
        </w:rPr>
        <w:t>2.1 Encoder Module</w:t>
      </w:r>
    </w:p>
    <w:p w14:paraId="6D910EF0" w14:textId="77777777" w:rsidR="005A1726" w:rsidRPr="00343B35" w:rsidRDefault="00343B35">
      <w:pPr>
        <w:spacing w:after="99"/>
        <w:ind w:left="-5"/>
        <w:rPr>
          <w:color w:val="000000" w:themeColor="text1"/>
        </w:rPr>
      </w:pPr>
      <w:r w:rsidRPr="00343B35">
        <w:rPr>
          <w:color w:val="000000" w:themeColor="text1"/>
        </w:rPr>
        <w:t>The encoder takes a sequence of character indices and passes them through an embedding layer followed by a single-layer GRU. It</w:t>
      </w:r>
      <w:r w:rsidRPr="00343B35">
        <w:rPr>
          <w:color w:val="000000" w:themeColor="text1"/>
        </w:rPr>
        <w:t xml:space="preserve"> returns both all hidden states (used by attention) and the final hidden state (used to initialize the decoder).</w:t>
      </w:r>
    </w:p>
    <w:p w14:paraId="70F6ECDE" w14:textId="77777777" w:rsidR="005A1726" w:rsidRPr="00343B35" w:rsidRDefault="00343B35">
      <w:pPr>
        <w:shd w:val="clear" w:color="auto" w:fill="F4F4F4"/>
        <w:spacing w:after="250" w:line="299" w:lineRule="auto"/>
        <w:ind w:left="235"/>
        <w:jc w:val="left"/>
        <w:rPr>
          <w:color w:val="000000" w:themeColor="text1"/>
        </w:rPr>
      </w:pPr>
      <w:r w:rsidRPr="00343B35">
        <w:rPr>
          <w:rFonts w:ascii="Courier New" w:eastAsia="Courier New" w:hAnsi="Courier New" w:cs="Courier New"/>
          <w:color w:val="000000" w:themeColor="text1"/>
          <w:sz w:val="17"/>
        </w:rPr>
        <w:t>class Encoder(</w:t>
      </w:r>
      <w:proofErr w:type="spellStart"/>
      <w:proofErr w:type="gramStart"/>
      <w:r w:rsidRPr="00343B35">
        <w:rPr>
          <w:rFonts w:ascii="Courier New" w:eastAsia="Courier New" w:hAnsi="Courier New" w:cs="Courier New"/>
          <w:color w:val="000000" w:themeColor="text1"/>
          <w:sz w:val="17"/>
        </w:rPr>
        <w:t>nn.Module</w:t>
      </w:r>
      <w:proofErr w:type="spellEnd"/>
      <w:proofErr w:type="gramEnd"/>
      <w:r w:rsidRPr="00343B35">
        <w:rPr>
          <w:rFonts w:ascii="Courier New" w:eastAsia="Courier New" w:hAnsi="Courier New" w:cs="Courier New"/>
          <w:color w:val="000000" w:themeColor="text1"/>
          <w:sz w:val="17"/>
        </w:rPr>
        <w:t xml:space="preserve">): embedding = </w:t>
      </w:r>
      <w:proofErr w:type="spellStart"/>
      <w:r w:rsidRPr="00343B35">
        <w:rPr>
          <w:rFonts w:ascii="Courier New" w:eastAsia="Courier New" w:hAnsi="Courier New" w:cs="Courier New"/>
          <w:color w:val="000000" w:themeColor="text1"/>
          <w:sz w:val="17"/>
        </w:rPr>
        <w:t>nn.Embedding</w:t>
      </w:r>
      <w:proofErr w:type="spellEnd"/>
      <w:r w:rsidRPr="00343B35">
        <w:rPr>
          <w:rFonts w:ascii="Courier New" w:eastAsia="Courier New" w:hAnsi="Courier New" w:cs="Courier New"/>
          <w:color w:val="000000" w:themeColor="text1"/>
          <w:sz w:val="17"/>
        </w:rPr>
        <w:t>(</w:t>
      </w:r>
      <w:proofErr w:type="spellStart"/>
      <w:r w:rsidRPr="00343B35">
        <w:rPr>
          <w:rFonts w:ascii="Courier New" w:eastAsia="Courier New" w:hAnsi="Courier New" w:cs="Courier New"/>
          <w:color w:val="000000" w:themeColor="text1"/>
          <w:sz w:val="17"/>
        </w:rPr>
        <w:t>vocab_size</w:t>
      </w:r>
      <w:proofErr w:type="spellEnd"/>
      <w:r w:rsidRPr="00343B35">
        <w:rPr>
          <w:rFonts w:ascii="Courier New" w:eastAsia="Courier New" w:hAnsi="Courier New" w:cs="Courier New"/>
          <w:color w:val="000000" w:themeColor="text1"/>
          <w:sz w:val="17"/>
        </w:rPr>
        <w:t xml:space="preserve">, </w:t>
      </w:r>
      <w:proofErr w:type="spellStart"/>
      <w:r w:rsidRPr="00343B35">
        <w:rPr>
          <w:rFonts w:ascii="Courier New" w:eastAsia="Courier New" w:hAnsi="Courier New" w:cs="Courier New"/>
          <w:color w:val="000000" w:themeColor="text1"/>
          <w:sz w:val="17"/>
        </w:rPr>
        <w:t>embed_size</w:t>
      </w:r>
      <w:proofErr w:type="spellEnd"/>
      <w:r w:rsidRPr="00343B35">
        <w:rPr>
          <w:rFonts w:ascii="Courier New" w:eastAsia="Courier New" w:hAnsi="Courier New" w:cs="Courier New"/>
          <w:color w:val="000000" w:themeColor="text1"/>
          <w:sz w:val="17"/>
        </w:rPr>
        <w:t xml:space="preserve">) </w:t>
      </w:r>
      <w:proofErr w:type="spellStart"/>
      <w:r w:rsidRPr="00343B35">
        <w:rPr>
          <w:rFonts w:ascii="Courier New" w:eastAsia="Courier New" w:hAnsi="Courier New" w:cs="Courier New"/>
          <w:color w:val="000000" w:themeColor="text1"/>
          <w:sz w:val="17"/>
        </w:rPr>
        <w:t>rnn</w:t>
      </w:r>
      <w:proofErr w:type="spellEnd"/>
      <w:r w:rsidRPr="00343B35">
        <w:rPr>
          <w:rFonts w:ascii="Courier New" w:eastAsia="Courier New" w:hAnsi="Courier New" w:cs="Courier New"/>
          <w:color w:val="000000" w:themeColor="text1"/>
          <w:sz w:val="17"/>
        </w:rPr>
        <w:t xml:space="preserve"> = </w:t>
      </w:r>
      <w:proofErr w:type="spellStart"/>
      <w:r w:rsidRPr="00343B35">
        <w:rPr>
          <w:rFonts w:ascii="Courier New" w:eastAsia="Courier New" w:hAnsi="Courier New" w:cs="Courier New"/>
          <w:color w:val="000000" w:themeColor="text1"/>
          <w:sz w:val="17"/>
        </w:rPr>
        <w:t>nn.GRU</w:t>
      </w:r>
      <w:proofErr w:type="spellEnd"/>
      <w:r w:rsidRPr="00343B35">
        <w:rPr>
          <w:rFonts w:ascii="Courier New" w:eastAsia="Courier New" w:hAnsi="Courier New" w:cs="Courier New"/>
          <w:color w:val="000000" w:themeColor="text1"/>
          <w:sz w:val="17"/>
        </w:rPr>
        <w:t>(</w:t>
      </w:r>
      <w:proofErr w:type="spellStart"/>
      <w:r w:rsidRPr="00343B35">
        <w:rPr>
          <w:rFonts w:ascii="Courier New" w:eastAsia="Courier New" w:hAnsi="Courier New" w:cs="Courier New"/>
          <w:color w:val="000000" w:themeColor="text1"/>
          <w:sz w:val="17"/>
        </w:rPr>
        <w:t>embed_size</w:t>
      </w:r>
      <w:proofErr w:type="spellEnd"/>
      <w:r w:rsidRPr="00343B35">
        <w:rPr>
          <w:rFonts w:ascii="Courier New" w:eastAsia="Courier New" w:hAnsi="Courier New" w:cs="Courier New"/>
          <w:color w:val="000000" w:themeColor="text1"/>
          <w:sz w:val="17"/>
        </w:rPr>
        <w:t xml:space="preserve">, </w:t>
      </w:r>
      <w:proofErr w:type="spellStart"/>
      <w:r w:rsidRPr="00343B35">
        <w:rPr>
          <w:rFonts w:ascii="Courier New" w:eastAsia="Courier New" w:hAnsi="Courier New" w:cs="Courier New"/>
          <w:color w:val="000000" w:themeColor="text1"/>
          <w:sz w:val="17"/>
        </w:rPr>
        <w:t>hidden_size</w:t>
      </w:r>
      <w:proofErr w:type="spellEnd"/>
      <w:r w:rsidRPr="00343B35">
        <w:rPr>
          <w:rFonts w:ascii="Courier New" w:eastAsia="Courier New" w:hAnsi="Courier New" w:cs="Courier New"/>
          <w:color w:val="000000" w:themeColor="text1"/>
          <w:sz w:val="17"/>
        </w:rPr>
        <w:t xml:space="preserve">, </w:t>
      </w:r>
      <w:proofErr w:type="spellStart"/>
      <w:r w:rsidRPr="00343B35">
        <w:rPr>
          <w:rFonts w:ascii="Courier New" w:eastAsia="Courier New" w:hAnsi="Courier New" w:cs="Courier New"/>
          <w:color w:val="000000" w:themeColor="text1"/>
          <w:sz w:val="17"/>
        </w:rPr>
        <w:t>batch_first</w:t>
      </w:r>
      <w:proofErr w:type="spellEnd"/>
      <w:r w:rsidRPr="00343B35">
        <w:rPr>
          <w:rFonts w:ascii="Courier New" w:eastAsia="Courier New" w:hAnsi="Courier New" w:cs="Courier New"/>
          <w:color w:val="000000" w:themeColor="text1"/>
          <w:sz w:val="17"/>
        </w:rPr>
        <w:t>=True) forward(x) -</w:t>
      </w:r>
      <w:r w:rsidRPr="00343B35">
        <w:rPr>
          <w:rFonts w:ascii="Courier New" w:eastAsia="Courier New" w:hAnsi="Courier New" w:cs="Courier New"/>
          <w:color w:val="000000" w:themeColor="text1"/>
          <w:sz w:val="17"/>
        </w:rPr>
        <w:t>&gt; outputs (B,T,H), hidden (1,B,H)</w:t>
      </w:r>
    </w:p>
    <w:p w14:paraId="4BE9FF34" w14:textId="77777777" w:rsidR="005A1726" w:rsidRPr="00343B35" w:rsidRDefault="00343B35">
      <w:pPr>
        <w:pStyle w:val="Heading3"/>
        <w:ind w:left="-5"/>
        <w:rPr>
          <w:color w:val="000000" w:themeColor="text1"/>
        </w:rPr>
      </w:pPr>
      <w:r w:rsidRPr="00343B35">
        <w:rPr>
          <w:color w:val="000000" w:themeColor="text1"/>
        </w:rPr>
        <w:t xml:space="preserve">2.2 </w:t>
      </w:r>
      <w:proofErr w:type="spellStart"/>
      <w:r w:rsidRPr="00343B35">
        <w:rPr>
          <w:color w:val="000000" w:themeColor="text1"/>
        </w:rPr>
        <w:t>Bahdanau</w:t>
      </w:r>
      <w:proofErr w:type="spellEnd"/>
      <w:r w:rsidRPr="00343B35">
        <w:rPr>
          <w:color w:val="000000" w:themeColor="text1"/>
        </w:rPr>
        <w:t xml:space="preserve"> Attention Module</w:t>
      </w:r>
    </w:p>
    <w:p w14:paraId="6AF03FC9" w14:textId="77777777" w:rsidR="005A1726" w:rsidRPr="00343B35" w:rsidRDefault="00343B35">
      <w:pPr>
        <w:spacing w:after="99"/>
        <w:ind w:left="-5"/>
        <w:rPr>
          <w:color w:val="000000" w:themeColor="text1"/>
        </w:rPr>
      </w:pPr>
      <w:r w:rsidRPr="00343B35">
        <w:rPr>
          <w:color w:val="000000" w:themeColor="text1"/>
        </w:rPr>
        <w:t xml:space="preserve">Implements additive attention with three learned linear layers (W1, W2, v). At each decoder step, computes energy scores over all encoder outputs, normalizes with </w:t>
      </w:r>
      <w:proofErr w:type="spellStart"/>
      <w:r w:rsidRPr="00343B35">
        <w:rPr>
          <w:color w:val="000000" w:themeColor="text1"/>
        </w:rPr>
        <w:t>softmax</w:t>
      </w:r>
      <w:proofErr w:type="spellEnd"/>
      <w:r w:rsidRPr="00343B35">
        <w:rPr>
          <w:color w:val="000000" w:themeColor="text1"/>
        </w:rPr>
        <w:t>, and returns a weight</w:t>
      </w:r>
      <w:r w:rsidRPr="00343B35">
        <w:rPr>
          <w:color w:val="000000" w:themeColor="text1"/>
        </w:rPr>
        <w:t>ed context vector.</w:t>
      </w:r>
    </w:p>
    <w:p w14:paraId="1DCBF051" w14:textId="77777777" w:rsidR="005A1726" w:rsidRPr="00343B35" w:rsidRDefault="00343B35">
      <w:pPr>
        <w:shd w:val="clear" w:color="auto" w:fill="F4F4F4"/>
        <w:spacing w:after="250" w:line="299" w:lineRule="auto"/>
        <w:ind w:left="235"/>
        <w:jc w:val="left"/>
        <w:rPr>
          <w:color w:val="000000" w:themeColor="text1"/>
        </w:rPr>
      </w:pPr>
      <w:r w:rsidRPr="00343B35">
        <w:rPr>
          <w:rFonts w:ascii="Courier New" w:eastAsia="Courier New" w:hAnsi="Courier New" w:cs="Courier New"/>
          <w:color w:val="000000" w:themeColor="text1"/>
          <w:sz w:val="17"/>
        </w:rPr>
        <w:t xml:space="preserve">class </w:t>
      </w:r>
      <w:proofErr w:type="spellStart"/>
      <w:r w:rsidRPr="00343B35">
        <w:rPr>
          <w:rFonts w:ascii="Courier New" w:eastAsia="Courier New" w:hAnsi="Courier New" w:cs="Courier New"/>
          <w:color w:val="000000" w:themeColor="text1"/>
          <w:sz w:val="17"/>
        </w:rPr>
        <w:t>BahdanauAttention</w:t>
      </w:r>
      <w:proofErr w:type="spellEnd"/>
      <w:r w:rsidRPr="00343B35">
        <w:rPr>
          <w:rFonts w:ascii="Courier New" w:eastAsia="Courier New" w:hAnsi="Courier New" w:cs="Courier New"/>
          <w:color w:val="000000" w:themeColor="text1"/>
          <w:sz w:val="17"/>
        </w:rPr>
        <w:t>(</w:t>
      </w:r>
      <w:proofErr w:type="spellStart"/>
      <w:proofErr w:type="gramStart"/>
      <w:r w:rsidRPr="00343B35">
        <w:rPr>
          <w:rFonts w:ascii="Courier New" w:eastAsia="Courier New" w:hAnsi="Courier New" w:cs="Courier New"/>
          <w:color w:val="000000" w:themeColor="text1"/>
          <w:sz w:val="17"/>
        </w:rPr>
        <w:t>nn.Module</w:t>
      </w:r>
      <w:proofErr w:type="spellEnd"/>
      <w:proofErr w:type="gramEnd"/>
      <w:r w:rsidRPr="00343B35">
        <w:rPr>
          <w:rFonts w:ascii="Courier New" w:eastAsia="Courier New" w:hAnsi="Courier New" w:cs="Courier New"/>
          <w:color w:val="000000" w:themeColor="text1"/>
          <w:sz w:val="17"/>
        </w:rPr>
        <w:t>): W1, W2 = Linear(H, H) # project encoder and decoder states v = Linear(H, 1) # scalar score energy = v(</w:t>
      </w:r>
      <w:proofErr w:type="spellStart"/>
      <w:r w:rsidRPr="00343B35">
        <w:rPr>
          <w:rFonts w:ascii="Courier New" w:eastAsia="Courier New" w:hAnsi="Courier New" w:cs="Courier New"/>
          <w:color w:val="000000" w:themeColor="text1"/>
          <w:sz w:val="17"/>
        </w:rPr>
        <w:t>tanh</w:t>
      </w:r>
      <w:proofErr w:type="spellEnd"/>
      <w:r w:rsidRPr="00343B35">
        <w:rPr>
          <w:rFonts w:ascii="Courier New" w:eastAsia="Courier New" w:hAnsi="Courier New" w:cs="Courier New"/>
          <w:color w:val="000000" w:themeColor="text1"/>
          <w:sz w:val="17"/>
        </w:rPr>
        <w:t>(W1(</w:t>
      </w:r>
      <w:proofErr w:type="spellStart"/>
      <w:r w:rsidRPr="00343B35">
        <w:rPr>
          <w:rFonts w:ascii="Courier New" w:eastAsia="Courier New" w:hAnsi="Courier New" w:cs="Courier New"/>
          <w:color w:val="000000" w:themeColor="text1"/>
          <w:sz w:val="17"/>
        </w:rPr>
        <w:t>h_enc</w:t>
      </w:r>
      <w:proofErr w:type="spellEnd"/>
      <w:r w:rsidRPr="00343B35">
        <w:rPr>
          <w:rFonts w:ascii="Courier New" w:eastAsia="Courier New" w:hAnsi="Courier New" w:cs="Courier New"/>
          <w:color w:val="000000" w:themeColor="text1"/>
          <w:sz w:val="17"/>
        </w:rPr>
        <w:t>) + W2(</w:t>
      </w:r>
      <w:proofErr w:type="spellStart"/>
      <w:r w:rsidRPr="00343B35">
        <w:rPr>
          <w:rFonts w:ascii="Courier New" w:eastAsia="Courier New" w:hAnsi="Courier New" w:cs="Courier New"/>
          <w:color w:val="000000" w:themeColor="text1"/>
          <w:sz w:val="17"/>
        </w:rPr>
        <w:t>h_dec</w:t>
      </w:r>
      <w:proofErr w:type="spellEnd"/>
      <w:r w:rsidRPr="00343B35">
        <w:rPr>
          <w:rFonts w:ascii="Courier New" w:eastAsia="Courier New" w:hAnsi="Courier New" w:cs="Courier New"/>
          <w:color w:val="000000" w:themeColor="text1"/>
          <w:sz w:val="17"/>
        </w:rPr>
        <w:t xml:space="preserve">))) # (B, T, 1) </w:t>
      </w:r>
      <w:proofErr w:type="spellStart"/>
      <w:r w:rsidRPr="00343B35">
        <w:rPr>
          <w:rFonts w:ascii="Courier New" w:eastAsia="Courier New" w:hAnsi="Courier New" w:cs="Courier New"/>
          <w:color w:val="000000" w:themeColor="text1"/>
          <w:sz w:val="17"/>
        </w:rPr>
        <w:t>attn</w:t>
      </w:r>
      <w:proofErr w:type="spellEnd"/>
      <w:r w:rsidRPr="00343B35">
        <w:rPr>
          <w:rFonts w:ascii="Courier New" w:eastAsia="Courier New" w:hAnsi="Courier New" w:cs="Courier New"/>
          <w:color w:val="000000" w:themeColor="text1"/>
          <w:sz w:val="17"/>
        </w:rPr>
        <w:t xml:space="preserve"> = </w:t>
      </w:r>
      <w:proofErr w:type="spellStart"/>
      <w:r w:rsidRPr="00343B35">
        <w:rPr>
          <w:rFonts w:ascii="Courier New" w:eastAsia="Courier New" w:hAnsi="Courier New" w:cs="Courier New"/>
          <w:color w:val="000000" w:themeColor="text1"/>
          <w:sz w:val="17"/>
        </w:rPr>
        <w:t>softmax</w:t>
      </w:r>
      <w:proofErr w:type="spellEnd"/>
      <w:r w:rsidRPr="00343B35">
        <w:rPr>
          <w:rFonts w:ascii="Courier New" w:eastAsia="Courier New" w:hAnsi="Courier New" w:cs="Courier New"/>
          <w:color w:val="000000" w:themeColor="text1"/>
          <w:sz w:val="17"/>
        </w:rPr>
        <w:t xml:space="preserve">(energy, dim=1) # (B, T, 1) context= </w:t>
      </w:r>
      <w:proofErr w:type="spellStart"/>
      <w:r w:rsidRPr="00343B35">
        <w:rPr>
          <w:rFonts w:ascii="Courier New" w:eastAsia="Courier New" w:hAnsi="Courier New" w:cs="Courier New"/>
          <w:color w:val="000000" w:themeColor="text1"/>
          <w:sz w:val="17"/>
        </w:rPr>
        <w:t>bmm</w:t>
      </w:r>
      <w:proofErr w:type="spellEnd"/>
      <w:r w:rsidRPr="00343B35">
        <w:rPr>
          <w:rFonts w:ascii="Courier New" w:eastAsia="Courier New" w:hAnsi="Courier New" w:cs="Courier New"/>
          <w:color w:val="000000" w:themeColor="text1"/>
          <w:sz w:val="17"/>
        </w:rPr>
        <w:t>(</w:t>
      </w:r>
      <w:proofErr w:type="spellStart"/>
      <w:r w:rsidRPr="00343B35">
        <w:rPr>
          <w:rFonts w:ascii="Courier New" w:eastAsia="Courier New" w:hAnsi="Courier New" w:cs="Courier New"/>
          <w:color w:val="000000" w:themeColor="text1"/>
          <w:sz w:val="17"/>
        </w:rPr>
        <w:t>att</w:t>
      </w:r>
      <w:r w:rsidRPr="00343B35">
        <w:rPr>
          <w:rFonts w:ascii="Courier New" w:eastAsia="Courier New" w:hAnsi="Courier New" w:cs="Courier New"/>
          <w:color w:val="000000" w:themeColor="text1"/>
          <w:sz w:val="17"/>
        </w:rPr>
        <w:t>n.T</w:t>
      </w:r>
      <w:proofErr w:type="spellEnd"/>
      <w:r w:rsidRPr="00343B35">
        <w:rPr>
          <w:rFonts w:ascii="Courier New" w:eastAsia="Courier New" w:hAnsi="Courier New" w:cs="Courier New"/>
          <w:color w:val="000000" w:themeColor="text1"/>
          <w:sz w:val="17"/>
        </w:rPr>
        <w:t xml:space="preserve">, </w:t>
      </w:r>
      <w:proofErr w:type="spellStart"/>
      <w:r w:rsidRPr="00343B35">
        <w:rPr>
          <w:rFonts w:ascii="Courier New" w:eastAsia="Courier New" w:hAnsi="Courier New" w:cs="Courier New"/>
          <w:color w:val="000000" w:themeColor="text1"/>
          <w:sz w:val="17"/>
        </w:rPr>
        <w:t>encoder_outputs</w:t>
      </w:r>
      <w:proofErr w:type="spellEnd"/>
      <w:r w:rsidRPr="00343B35">
        <w:rPr>
          <w:rFonts w:ascii="Courier New" w:eastAsia="Courier New" w:hAnsi="Courier New" w:cs="Courier New"/>
          <w:color w:val="000000" w:themeColor="text1"/>
          <w:sz w:val="17"/>
        </w:rPr>
        <w:t>) # (B, 1, H)</w:t>
      </w:r>
    </w:p>
    <w:p w14:paraId="33CF154A" w14:textId="77777777" w:rsidR="005A1726" w:rsidRPr="00343B35" w:rsidRDefault="00343B35">
      <w:pPr>
        <w:pStyle w:val="Heading3"/>
        <w:ind w:left="-5"/>
        <w:rPr>
          <w:color w:val="000000" w:themeColor="text1"/>
        </w:rPr>
      </w:pPr>
      <w:r w:rsidRPr="00343B35">
        <w:rPr>
          <w:color w:val="000000" w:themeColor="text1"/>
        </w:rPr>
        <w:t>2.3 Decoder WITHOUT Attention (Baseline)</w:t>
      </w:r>
    </w:p>
    <w:p w14:paraId="2A7084C3" w14:textId="77777777" w:rsidR="005A1726" w:rsidRPr="00343B35" w:rsidRDefault="00343B35">
      <w:pPr>
        <w:ind w:left="-5"/>
        <w:rPr>
          <w:color w:val="000000" w:themeColor="text1"/>
        </w:rPr>
      </w:pPr>
      <w:r w:rsidRPr="00343B35">
        <w:rPr>
          <w:color w:val="000000" w:themeColor="text1"/>
        </w:rPr>
        <w:t xml:space="preserve">The baseline decoder only uses the final encoder hidden state as context. It does not have access to individual encoder </w:t>
      </w:r>
      <w:proofErr w:type="spellStart"/>
      <w:r w:rsidRPr="00343B35">
        <w:rPr>
          <w:color w:val="000000" w:themeColor="text1"/>
        </w:rPr>
        <w:t>timestep</w:t>
      </w:r>
      <w:proofErr w:type="spellEnd"/>
      <w:r w:rsidRPr="00343B35">
        <w:rPr>
          <w:color w:val="000000" w:themeColor="text1"/>
        </w:rPr>
        <w:t xml:space="preserve"> outputs. The decoder GRU takes only the embedded inp</w:t>
      </w:r>
      <w:r w:rsidRPr="00343B35">
        <w:rPr>
          <w:color w:val="000000" w:themeColor="text1"/>
        </w:rPr>
        <w:t>ut token at each step, with no additional context signal.</w:t>
      </w:r>
    </w:p>
    <w:p w14:paraId="39A1EE41" w14:textId="77777777" w:rsidR="005A1726" w:rsidRPr="00343B35" w:rsidRDefault="00343B35">
      <w:pPr>
        <w:pStyle w:val="Heading3"/>
        <w:ind w:left="-5"/>
        <w:rPr>
          <w:color w:val="000000" w:themeColor="text1"/>
        </w:rPr>
      </w:pPr>
      <w:r w:rsidRPr="00343B35">
        <w:rPr>
          <w:color w:val="000000" w:themeColor="text1"/>
        </w:rPr>
        <w:lastRenderedPageBreak/>
        <w:t>2.4 Decoder WITH Attention</w:t>
      </w:r>
    </w:p>
    <w:p w14:paraId="143DFD0C" w14:textId="77777777" w:rsidR="005A1726" w:rsidRPr="00343B35" w:rsidRDefault="00343B35">
      <w:pPr>
        <w:ind w:left="-5"/>
        <w:rPr>
          <w:color w:val="000000" w:themeColor="text1"/>
        </w:rPr>
      </w:pPr>
      <w:r w:rsidRPr="00343B35">
        <w:rPr>
          <w:color w:val="000000" w:themeColor="text1"/>
        </w:rPr>
        <w:t>The attention decoder concatenates the current embedded token with the attention context vector before passing it to the GRU. The final output projection uses both the GRU</w:t>
      </w:r>
      <w:r w:rsidRPr="00343B35">
        <w:rPr>
          <w:color w:val="000000" w:themeColor="text1"/>
        </w:rPr>
        <w:t xml:space="preserve"> output and the context vector concatenated, giving the model two information sources for each prediction.</w:t>
      </w:r>
    </w:p>
    <w:p w14:paraId="29216923" w14:textId="77777777" w:rsidR="005A1726" w:rsidRPr="00343B35" w:rsidRDefault="00343B35">
      <w:pPr>
        <w:pStyle w:val="Heading3"/>
        <w:spacing w:after="0"/>
        <w:ind w:left="-5"/>
        <w:rPr>
          <w:color w:val="000000" w:themeColor="text1"/>
        </w:rPr>
      </w:pPr>
      <w:r w:rsidRPr="00343B35">
        <w:rPr>
          <w:color w:val="000000" w:themeColor="text1"/>
        </w:rPr>
        <w:t>2.5 Training Setup</w:t>
      </w:r>
    </w:p>
    <w:tbl>
      <w:tblPr>
        <w:tblStyle w:val="TableGrid"/>
        <w:tblW w:w="9071" w:type="dxa"/>
        <w:tblInd w:w="163" w:type="dxa"/>
        <w:tblCellMar>
          <w:left w:w="120" w:type="dxa"/>
          <w:right w:w="115" w:type="dxa"/>
        </w:tblCellMar>
        <w:tblLook w:val="04A0" w:firstRow="1" w:lastRow="0" w:firstColumn="1" w:lastColumn="0" w:noHBand="0" w:noVBand="1"/>
      </w:tblPr>
      <w:tblGrid>
        <w:gridCol w:w="3969"/>
        <w:gridCol w:w="5102"/>
      </w:tblGrid>
      <w:tr w:rsidR="00343B35" w:rsidRPr="00343B35" w14:paraId="3B4EB898"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2980B9"/>
            <w:vAlign w:val="center"/>
          </w:tcPr>
          <w:p w14:paraId="01CB2AE7" w14:textId="77777777" w:rsidR="005A1726" w:rsidRPr="00343B35" w:rsidRDefault="00343B35">
            <w:pPr>
              <w:spacing w:after="0" w:line="259" w:lineRule="auto"/>
              <w:ind w:left="0" w:firstLine="0"/>
              <w:jc w:val="left"/>
              <w:rPr>
                <w:color w:val="000000" w:themeColor="text1"/>
              </w:rPr>
            </w:pPr>
            <w:proofErr w:type="spellStart"/>
            <w:r w:rsidRPr="00343B35">
              <w:rPr>
                <w:b/>
                <w:color w:val="000000" w:themeColor="text1"/>
                <w:sz w:val="19"/>
              </w:rPr>
              <w:t>Hyperparameter</w:t>
            </w:r>
            <w:proofErr w:type="spellEnd"/>
          </w:p>
        </w:tc>
        <w:tc>
          <w:tcPr>
            <w:tcW w:w="5102" w:type="dxa"/>
            <w:tcBorders>
              <w:top w:val="single" w:sz="4" w:space="0" w:color="CCCCCC"/>
              <w:left w:val="single" w:sz="4" w:space="0" w:color="CCCCCC"/>
              <w:bottom w:val="single" w:sz="4" w:space="0" w:color="CCCCCC"/>
              <w:right w:val="single" w:sz="4" w:space="0" w:color="CCCCCC"/>
            </w:tcBorders>
            <w:shd w:val="clear" w:color="auto" w:fill="2980B9"/>
            <w:vAlign w:val="center"/>
          </w:tcPr>
          <w:p w14:paraId="6A398275" w14:textId="77777777" w:rsidR="005A1726" w:rsidRPr="00343B35" w:rsidRDefault="00343B35">
            <w:pPr>
              <w:spacing w:after="0" w:line="259" w:lineRule="auto"/>
              <w:ind w:left="0" w:firstLine="0"/>
              <w:jc w:val="left"/>
              <w:rPr>
                <w:color w:val="000000" w:themeColor="text1"/>
              </w:rPr>
            </w:pPr>
            <w:r w:rsidRPr="00343B35">
              <w:rPr>
                <w:b/>
                <w:color w:val="000000" w:themeColor="text1"/>
                <w:sz w:val="19"/>
              </w:rPr>
              <w:t>Value</w:t>
            </w:r>
          </w:p>
        </w:tc>
      </w:tr>
      <w:tr w:rsidR="00343B35" w:rsidRPr="00343B35" w14:paraId="7F362231"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560C73E3"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Embedding Size</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36C6AF0C"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64</w:t>
            </w:r>
          </w:p>
        </w:tc>
      </w:tr>
      <w:tr w:rsidR="00343B35" w:rsidRPr="00343B35" w14:paraId="4373E338"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CAB2E7"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Hidden Size</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3E208F"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128</w:t>
            </w:r>
          </w:p>
        </w:tc>
      </w:tr>
      <w:tr w:rsidR="00343B35" w:rsidRPr="00343B35" w14:paraId="6ED5762D"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4FE0A9F1"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GRU Layers</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78E47124"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1</w:t>
            </w:r>
          </w:p>
        </w:tc>
      </w:tr>
      <w:tr w:rsidR="00343B35" w:rsidRPr="00343B35" w14:paraId="6CC24B4F"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237F2E"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Dropout</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D2D1AB"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0.1</w:t>
            </w:r>
          </w:p>
        </w:tc>
      </w:tr>
      <w:tr w:rsidR="00343B35" w:rsidRPr="00343B35" w14:paraId="7D9E4BF4"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74D00CC2"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Learning Rate</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6C86775E"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0.001 (Adam)</w:t>
            </w:r>
          </w:p>
        </w:tc>
      </w:tr>
      <w:tr w:rsidR="00343B35" w:rsidRPr="00343B35" w14:paraId="3FD3DD85"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D4C4C1"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Epochs</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8CF65B"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150</w:t>
            </w:r>
          </w:p>
        </w:tc>
      </w:tr>
      <w:tr w:rsidR="00343B35" w:rsidRPr="00343B35" w14:paraId="3F552931"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3DE616B3"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Batch</w:t>
            </w:r>
            <w:r w:rsidRPr="00343B35">
              <w:rPr>
                <w:color w:val="000000" w:themeColor="text1"/>
                <w:sz w:val="19"/>
              </w:rPr>
              <w:t xml:space="preserve"> Size</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3F01B3A2"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8</w:t>
            </w:r>
          </w:p>
        </w:tc>
      </w:tr>
      <w:tr w:rsidR="00343B35" w:rsidRPr="00343B35" w14:paraId="5EB28E1C"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1A0063"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Loss Function</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8DA9AA" w14:textId="77777777" w:rsidR="005A1726" w:rsidRPr="00343B35" w:rsidRDefault="00343B35">
            <w:pPr>
              <w:spacing w:after="0" w:line="259" w:lineRule="auto"/>
              <w:ind w:left="0" w:firstLine="0"/>
              <w:jc w:val="left"/>
              <w:rPr>
                <w:color w:val="000000" w:themeColor="text1"/>
              </w:rPr>
            </w:pPr>
            <w:proofErr w:type="spellStart"/>
            <w:r w:rsidRPr="00343B35">
              <w:rPr>
                <w:color w:val="000000" w:themeColor="text1"/>
                <w:sz w:val="19"/>
              </w:rPr>
              <w:t>CrossEntropyLoss</w:t>
            </w:r>
            <w:proofErr w:type="spellEnd"/>
            <w:r w:rsidRPr="00343B35">
              <w:rPr>
                <w:color w:val="000000" w:themeColor="text1"/>
                <w:sz w:val="19"/>
              </w:rPr>
              <w:t xml:space="preserve"> (pad ignored)</w:t>
            </w:r>
          </w:p>
        </w:tc>
      </w:tr>
      <w:tr w:rsidR="00343B35" w:rsidRPr="00343B35" w14:paraId="53F7BB9F"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0302C096"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Teacher Forcing Ratio</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1BA2EA00" w14:textId="77777777" w:rsidR="005A1726" w:rsidRPr="00343B35" w:rsidRDefault="00343B35">
            <w:pPr>
              <w:spacing w:after="0" w:line="259" w:lineRule="auto"/>
              <w:ind w:left="0" w:firstLine="0"/>
              <w:jc w:val="left"/>
              <w:rPr>
                <w:color w:val="000000" w:themeColor="text1"/>
              </w:rPr>
            </w:pPr>
            <w:r w:rsidRPr="00343B35">
              <w:rPr>
                <w:color w:val="000000" w:themeColor="text1"/>
                <w:sz w:val="19"/>
              </w:rPr>
              <w:t>0.5</w:t>
            </w:r>
          </w:p>
        </w:tc>
      </w:tr>
    </w:tbl>
    <w:p w14:paraId="61E5A763" w14:textId="77777777" w:rsidR="005A1726" w:rsidRPr="00343B35" w:rsidRDefault="00343B35">
      <w:pPr>
        <w:pStyle w:val="Heading2"/>
        <w:ind w:left="-5"/>
        <w:rPr>
          <w:color w:val="000000" w:themeColor="text1"/>
        </w:rPr>
      </w:pPr>
      <w:r w:rsidRPr="00343B35">
        <w:rPr>
          <w:color w:val="000000" w:themeColor="text1"/>
        </w:rPr>
        <w:t>Part 3: Training Results and Loss Curves</w:t>
      </w:r>
    </w:p>
    <w:p w14:paraId="42537EFF" w14:textId="77777777" w:rsidR="005A1726" w:rsidRPr="00343B35" w:rsidRDefault="00343B35">
      <w:pPr>
        <w:pStyle w:val="Heading3"/>
        <w:spacing w:after="0"/>
        <w:ind w:left="-5"/>
        <w:rPr>
          <w:color w:val="000000" w:themeColor="text1"/>
        </w:rPr>
      </w:pPr>
      <w:r w:rsidRPr="00343B35">
        <w:rPr>
          <w:color w:val="000000" w:themeColor="text1"/>
        </w:rPr>
        <w:t>3.1 Training Loss Curves</w:t>
      </w:r>
    </w:p>
    <w:p w14:paraId="183BC40C" w14:textId="77777777" w:rsidR="005A1726" w:rsidRPr="00343B35" w:rsidRDefault="00343B35">
      <w:pPr>
        <w:spacing w:after="226" w:line="259" w:lineRule="auto"/>
        <w:ind w:left="730" w:firstLine="0"/>
        <w:jc w:val="left"/>
        <w:rPr>
          <w:color w:val="000000" w:themeColor="text1"/>
        </w:rPr>
      </w:pPr>
      <w:r w:rsidRPr="00343B35">
        <w:rPr>
          <w:noProof/>
          <w:color w:val="000000" w:themeColor="text1"/>
        </w:rPr>
        <w:drawing>
          <wp:inline distT="0" distB="0" distL="0" distR="0" wp14:anchorId="5EFE10D1" wp14:editId="53D7F911">
            <wp:extent cx="5040000" cy="252000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5"/>
                    <a:stretch>
                      <a:fillRect/>
                    </a:stretch>
                  </pic:blipFill>
                  <pic:spPr>
                    <a:xfrm>
                      <a:off x="0" y="0"/>
                      <a:ext cx="5040000" cy="2520000"/>
                    </a:xfrm>
                    <a:prstGeom prst="rect">
                      <a:avLst/>
                    </a:prstGeom>
                  </pic:spPr>
                </pic:pic>
              </a:graphicData>
            </a:graphic>
          </wp:inline>
        </w:drawing>
      </w:r>
    </w:p>
    <w:p w14:paraId="47DCB7CE" w14:textId="77777777" w:rsidR="005A1726" w:rsidRPr="00343B35" w:rsidRDefault="00343B35">
      <w:pPr>
        <w:ind w:left="-5"/>
        <w:rPr>
          <w:color w:val="000000" w:themeColor="text1"/>
        </w:rPr>
      </w:pPr>
      <w:r w:rsidRPr="00343B35">
        <w:rPr>
          <w:color w:val="000000" w:themeColor="text1"/>
        </w:rPr>
        <w:t xml:space="preserve">Figure 1: Training loss over 150 epochs for both models. The attention model (green) converges faster and </w:t>
      </w:r>
      <w:r w:rsidRPr="00343B35">
        <w:rPr>
          <w:color w:val="000000" w:themeColor="text1"/>
        </w:rPr>
        <w:t>reaches a significantly lower final loss (0.0009) compared to the baseline model (red, 0.0049). Both models show smooth convergence with no signs of divergence, indicating stable training.</w:t>
      </w:r>
    </w:p>
    <w:p w14:paraId="7984438E" w14:textId="77777777" w:rsidR="005A1726" w:rsidRPr="00343B35" w:rsidRDefault="00343B35">
      <w:pPr>
        <w:pStyle w:val="Heading3"/>
        <w:spacing w:after="0"/>
        <w:ind w:left="-5"/>
        <w:rPr>
          <w:color w:val="000000" w:themeColor="text1"/>
        </w:rPr>
      </w:pPr>
      <w:r w:rsidRPr="00343B35">
        <w:rPr>
          <w:color w:val="000000" w:themeColor="text1"/>
        </w:rPr>
        <w:t>3.2 Comparison Table</w:t>
      </w:r>
    </w:p>
    <w:tbl>
      <w:tblPr>
        <w:tblStyle w:val="TableGrid"/>
        <w:tblW w:w="9354" w:type="dxa"/>
        <w:tblInd w:w="22" w:type="dxa"/>
        <w:tblCellMar>
          <w:left w:w="120" w:type="dxa"/>
          <w:right w:w="115" w:type="dxa"/>
        </w:tblCellMar>
        <w:tblLook w:val="04A0" w:firstRow="1" w:lastRow="0" w:firstColumn="1" w:lastColumn="0" w:noHBand="0" w:noVBand="1"/>
      </w:tblPr>
      <w:tblGrid>
        <w:gridCol w:w="2834"/>
        <w:gridCol w:w="2268"/>
        <w:gridCol w:w="2268"/>
        <w:gridCol w:w="1984"/>
      </w:tblGrid>
      <w:tr w:rsidR="00343B35" w:rsidRPr="00343B35" w14:paraId="7A90E0CF"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6220AA1A" w14:textId="77777777" w:rsidR="005A1726" w:rsidRPr="00343B35" w:rsidRDefault="00343B35">
            <w:pPr>
              <w:spacing w:after="0" w:line="259" w:lineRule="auto"/>
              <w:ind w:left="0" w:firstLine="0"/>
              <w:jc w:val="left"/>
              <w:rPr>
                <w:color w:val="000000" w:themeColor="text1"/>
              </w:rPr>
            </w:pPr>
            <w:r w:rsidRPr="00343B35">
              <w:rPr>
                <w:b/>
                <w:color w:val="000000" w:themeColor="text1"/>
                <w:sz w:val="18"/>
              </w:rPr>
              <w:t>Metric</w:t>
            </w:r>
          </w:p>
        </w:tc>
        <w:tc>
          <w:tcPr>
            <w:tcW w:w="2268"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1A2A89AE" w14:textId="77777777" w:rsidR="005A1726" w:rsidRPr="00343B35" w:rsidRDefault="00343B35">
            <w:pPr>
              <w:spacing w:after="0" w:line="259" w:lineRule="auto"/>
              <w:ind w:left="0" w:right="5" w:firstLine="0"/>
              <w:jc w:val="center"/>
              <w:rPr>
                <w:color w:val="000000" w:themeColor="text1"/>
              </w:rPr>
            </w:pPr>
            <w:r w:rsidRPr="00343B35">
              <w:rPr>
                <w:b/>
                <w:color w:val="000000" w:themeColor="text1"/>
                <w:sz w:val="18"/>
              </w:rPr>
              <w:t>Without Attention</w:t>
            </w:r>
          </w:p>
        </w:tc>
        <w:tc>
          <w:tcPr>
            <w:tcW w:w="2268"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6CF090B4" w14:textId="77777777" w:rsidR="005A1726" w:rsidRPr="00343B35" w:rsidRDefault="00343B35">
            <w:pPr>
              <w:spacing w:after="0" w:line="259" w:lineRule="auto"/>
              <w:ind w:left="0" w:right="5" w:firstLine="0"/>
              <w:jc w:val="center"/>
              <w:rPr>
                <w:color w:val="000000" w:themeColor="text1"/>
              </w:rPr>
            </w:pPr>
            <w:r w:rsidRPr="00343B35">
              <w:rPr>
                <w:b/>
                <w:color w:val="000000" w:themeColor="text1"/>
                <w:sz w:val="18"/>
              </w:rPr>
              <w:t>With Attention</w:t>
            </w:r>
          </w:p>
        </w:tc>
        <w:tc>
          <w:tcPr>
            <w:tcW w:w="1984"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63EC47F1" w14:textId="77777777" w:rsidR="005A1726" w:rsidRPr="00343B35" w:rsidRDefault="00343B35">
            <w:pPr>
              <w:spacing w:after="0" w:line="259" w:lineRule="auto"/>
              <w:ind w:left="0" w:right="5" w:firstLine="0"/>
              <w:jc w:val="center"/>
              <w:rPr>
                <w:color w:val="000000" w:themeColor="text1"/>
              </w:rPr>
            </w:pPr>
            <w:r w:rsidRPr="00343B35">
              <w:rPr>
                <w:b/>
                <w:color w:val="000000" w:themeColor="text1"/>
                <w:sz w:val="18"/>
              </w:rPr>
              <w:t>Improvement</w:t>
            </w:r>
          </w:p>
        </w:tc>
      </w:tr>
      <w:tr w:rsidR="00343B35" w:rsidRPr="00343B35" w14:paraId="7A4777AB"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30D537F"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t>Final Training Loss</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148F0FF"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0.0049</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65259E0"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0.0009</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04ECE26"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5.4× lower</w:t>
            </w:r>
          </w:p>
        </w:tc>
      </w:tr>
      <w:tr w:rsidR="00343B35" w:rsidRPr="00343B35" w14:paraId="65BD5D53"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C6E298"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t>Exact-Match Accuracy</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2EFA448"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89.2%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E7E276F"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100.0%</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8BBBFE4"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+10.8%</w:t>
            </w:r>
          </w:p>
        </w:tc>
      </w:tr>
      <w:tr w:rsidR="00343B35" w:rsidRPr="00343B35" w14:paraId="7FF0714C"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CB22EA4"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lastRenderedPageBreak/>
              <w:t>BLEU-1 Score</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AB41C39"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~89%</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AAB9DF4"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100.0%</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4D7A562"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+~11%</w:t>
            </w:r>
          </w:p>
        </w:tc>
      </w:tr>
      <w:tr w:rsidR="00343B35" w:rsidRPr="00343B35" w14:paraId="51FA6908"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6376280"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t>Training Time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5CAA5EF"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28.15s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4CAF12"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46.13s</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E518EF"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+18s overhead</w:t>
            </w:r>
          </w:p>
        </w:tc>
      </w:tr>
      <w:tr w:rsidR="00343B35" w:rsidRPr="00343B35" w14:paraId="661E5B6F"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E9C3A71"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t>Trainable Parameters</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A7AAF0F"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152,845</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F9A9A27"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236,557</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918C3DB"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+83,712</w:t>
            </w:r>
          </w:p>
        </w:tc>
      </w:tr>
      <w:tr w:rsidR="00343B35" w:rsidRPr="00343B35" w14:paraId="46F9AE16"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A697FA"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t>Context Vector Type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2125D0"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 xml:space="preserve">Fixed </w:t>
            </w:r>
            <w:r w:rsidRPr="00343B35">
              <w:rPr>
                <w:color w:val="000000" w:themeColor="text1"/>
                <w:sz w:val="18"/>
              </w:rPr>
              <w:t>(bottleneck)</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9B48E28"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Dynamic</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EBE5618"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Better</w:t>
            </w:r>
          </w:p>
        </w:tc>
      </w:tr>
      <w:tr w:rsidR="00343B35" w:rsidRPr="00343B35" w14:paraId="6B30CD7A"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39853E3" w14:textId="77777777" w:rsidR="005A1726" w:rsidRPr="00343B35" w:rsidRDefault="00343B35">
            <w:pPr>
              <w:spacing w:after="0" w:line="259" w:lineRule="auto"/>
              <w:ind w:left="0" w:firstLine="0"/>
              <w:jc w:val="left"/>
              <w:rPr>
                <w:color w:val="000000" w:themeColor="text1"/>
              </w:rPr>
            </w:pPr>
            <w:r w:rsidRPr="00343B35">
              <w:rPr>
                <w:color w:val="000000" w:themeColor="text1"/>
                <w:sz w:val="18"/>
              </w:rPr>
              <w:t>Long-</w:t>
            </w:r>
            <w:proofErr w:type="spellStart"/>
            <w:r w:rsidRPr="00343B35">
              <w:rPr>
                <w:color w:val="000000" w:themeColor="text1"/>
                <w:sz w:val="18"/>
              </w:rPr>
              <w:t>Seq</w:t>
            </w:r>
            <w:proofErr w:type="spellEnd"/>
            <w:r w:rsidRPr="00343B35">
              <w:rPr>
                <w:color w:val="000000" w:themeColor="text1"/>
                <w:sz w:val="18"/>
              </w:rPr>
              <w:t xml:space="preserve"> Handling</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35D719C3"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Poor</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8040FB4"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Good</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EDB3944" w14:textId="77777777" w:rsidR="005A1726" w:rsidRPr="00343B35" w:rsidRDefault="00343B35">
            <w:pPr>
              <w:spacing w:after="0" w:line="259" w:lineRule="auto"/>
              <w:ind w:left="0" w:right="5" w:firstLine="0"/>
              <w:jc w:val="center"/>
              <w:rPr>
                <w:color w:val="000000" w:themeColor="text1"/>
              </w:rPr>
            </w:pPr>
            <w:r w:rsidRPr="00343B35">
              <w:rPr>
                <w:color w:val="000000" w:themeColor="text1"/>
                <w:sz w:val="18"/>
              </w:rPr>
              <w:t>Better</w:t>
            </w:r>
          </w:p>
        </w:tc>
      </w:tr>
    </w:tbl>
    <w:p w14:paraId="4A47B130" w14:textId="77777777" w:rsidR="005A1726" w:rsidRPr="00343B35" w:rsidRDefault="00343B35">
      <w:pPr>
        <w:pStyle w:val="Heading3"/>
        <w:ind w:left="-5"/>
        <w:rPr>
          <w:color w:val="000000" w:themeColor="text1"/>
        </w:rPr>
      </w:pPr>
      <w:r w:rsidRPr="00343B35">
        <w:rPr>
          <w:color w:val="000000" w:themeColor="text1"/>
        </w:rPr>
        <w:t>3.3 Performance Bar Chart</w:t>
      </w:r>
    </w:p>
    <w:p w14:paraId="3B655F9F" w14:textId="77777777" w:rsidR="005A1726" w:rsidRPr="00343B35" w:rsidRDefault="00343B35">
      <w:pPr>
        <w:spacing w:after="56" w:line="259" w:lineRule="auto"/>
        <w:ind w:left="1297" w:firstLine="0"/>
        <w:jc w:val="left"/>
        <w:rPr>
          <w:color w:val="000000" w:themeColor="text1"/>
        </w:rPr>
      </w:pPr>
      <w:r w:rsidRPr="00343B35">
        <w:rPr>
          <w:noProof/>
          <w:color w:val="000000" w:themeColor="text1"/>
        </w:rPr>
        <w:drawing>
          <wp:inline distT="0" distB="0" distL="0" distR="0" wp14:anchorId="1F7AE488" wp14:editId="489E09B3">
            <wp:extent cx="4320001" cy="270000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6"/>
                    <a:stretch>
                      <a:fillRect/>
                    </a:stretch>
                  </pic:blipFill>
                  <pic:spPr>
                    <a:xfrm>
                      <a:off x="0" y="0"/>
                      <a:ext cx="4320001" cy="2700000"/>
                    </a:xfrm>
                    <a:prstGeom prst="rect">
                      <a:avLst/>
                    </a:prstGeom>
                  </pic:spPr>
                </pic:pic>
              </a:graphicData>
            </a:graphic>
          </wp:inline>
        </w:drawing>
      </w:r>
    </w:p>
    <w:p w14:paraId="3B1220CB" w14:textId="77777777" w:rsidR="005A1726" w:rsidRPr="00343B35" w:rsidRDefault="00343B35">
      <w:pPr>
        <w:spacing w:after="9"/>
        <w:ind w:left="-5"/>
        <w:rPr>
          <w:color w:val="000000" w:themeColor="text1"/>
        </w:rPr>
      </w:pPr>
      <w:r w:rsidRPr="00343B35">
        <w:rPr>
          <w:color w:val="000000" w:themeColor="text1"/>
        </w:rPr>
        <w:t>Figure 2: Side-by-side comparison of Accuracy and BLEU-1 scores for both models. The attention model achieves perfect scores on both metrics.</w:t>
      </w:r>
      <w:r w:rsidRPr="00343B35">
        <w:rPr>
          <w:color w:val="000000" w:themeColor="text1"/>
        </w:rPr>
        <w:br w:type="page"/>
      </w:r>
    </w:p>
    <w:p w14:paraId="4180D0E8" w14:textId="77777777" w:rsidR="005A1726" w:rsidRPr="00343B35" w:rsidRDefault="00343B35">
      <w:pPr>
        <w:pStyle w:val="Heading2"/>
        <w:ind w:left="-5"/>
        <w:rPr>
          <w:color w:val="000000" w:themeColor="text1"/>
        </w:rPr>
      </w:pPr>
      <w:r w:rsidRPr="00343B35">
        <w:rPr>
          <w:color w:val="000000" w:themeColor="text1"/>
        </w:rPr>
        <w:lastRenderedPageBreak/>
        <w:t xml:space="preserve">Part 4: Attention </w:t>
      </w:r>
      <w:r w:rsidRPr="00343B35">
        <w:rPr>
          <w:color w:val="000000" w:themeColor="text1"/>
        </w:rPr>
        <w:t>Visualization and Analysis</w:t>
      </w:r>
    </w:p>
    <w:p w14:paraId="05DB20DD" w14:textId="77777777" w:rsidR="005A1726" w:rsidRPr="00343B35" w:rsidRDefault="00343B35">
      <w:pPr>
        <w:pStyle w:val="Heading3"/>
        <w:spacing w:after="0"/>
        <w:ind w:left="-5"/>
        <w:rPr>
          <w:color w:val="000000" w:themeColor="text1"/>
        </w:rPr>
      </w:pPr>
      <w:r w:rsidRPr="00343B35">
        <w:rPr>
          <w:color w:val="000000" w:themeColor="text1"/>
        </w:rPr>
        <w:t xml:space="preserve">4.1 Attention </w:t>
      </w:r>
      <w:proofErr w:type="spellStart"/>
      <w:r w:rsidRPr="00343B35">
        <w:rPr>
          <w:color w:val="000000" w:themeColor="text1"/>
        </w:rPr>
        <w:t>Heatmaps</w:t>
      </w:r>
      <w:proofErr w:type="spellEnd"/>
    </w:p>
    <w:p w14:paraId="428863D3" w14:textId="77777777" w:rsidR="005A1726" w:rsidRPr="00343B35" w:rsidRDefault="00343B35">
      <w:pPr>
        <w:spacing w:after="226" w:line="259" w:lineRule="auto"/>
        <w:ind w:left="447" w:firstLine="0"/>
        <w:jc w:val="left"/>
        <w:rPr>
          <w:color w:val="000000" w:themeColor="text1"/>
        </w:rPr>
      </w:pPr>
      <w:r w:rsidRPr="00343B35">
        <w:rPr>
          <w:noProof/>
          <w:color w:val="000000" w:themeColor="text1"/>
        </w:rPr>
        <w:drawing>
          <wp:inline distT="0" distB="0" distL="0" distR="0" wp14:anchorId="71E6FF20" wp14:editId="45D66C6E">
            <wp:extent cx="5400001" cy="198000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7"/>
                    <a:stretch>
                      <a:fillRect/>
                    </a:stretch>
                  </pic:blipFill>
                  <pic:spPr>
                    <a:xfrm>
                      <a:off x="0" y="0"/>
                      <a:ext cx="5400001" cy="1980000"/>
                    </a:xfrm>
                    <a:prstGeom prst="rect">
                      <a:avLst/>
                    </a:prstGeom>
                  </pic:spPr>
                </pic:pic>
              </a:graphicData>
            </a:graphic>
          </wp:inline>
        </w:drawing>
      </w:r>
    </w:p>
    <w:p w14:paraId="056A6F92" w14:textId="77777777" w:rsidR="005A1726" w:rsidRPr="00343B35" w:rsidRDefault="00343B35">
      <w:pPr>
        <w:ind w:left="-5"/>
        <w:rPr>
          <w:color w:val="000000" w:themeColor="text1"/>
        </w:rPr>
      </w:pPr>
      <w:r w:rsidRPr="00343B35">
        <w:rPr>
          <w:color w:val="000000" w:themeColor="text1"/>
        </w:rPr>
        <w:t xml:space="preserve">Figure 3: </w:t>
      </w:r>
      <w:proofErr w:type="spellStart"/>
      <w:r w:rsidRPr="00343B35">
        <w:rPr>
          <w:color w:val="000000" w:themeColor="text1"/>
        </w:rPr>
        <w:t>Bahdanau</w:t>
      </w:r>
      <w:proofErr w:type="spellEnd"/>
      <w:r w:rsidRPr="00343B35">
        <w:rPr>
          <w:color w:val="000000" w:themeColor="text1"/>
        </w:rPr>
        <w:t xml:space="preserve"> attention weight </w:t>
      </w:r>
      <w:proofErr w:type="spellStart"/>
      <w:r w:rsidRPr="00343B35">
        <w:rPr>
          <w:color w:val="000000" w:themeColor="text1"/>
        </w:rPr>
        <w:t>heatmaps</w:t>
      </w:r>
      <w:proofErr w:type="spellEnd"/>
      <w:r w:rsidRPr="00343B35">
        <w:rPr>
          <w:color w:val="000000" w:themeColor="text1"/>
        </w:rPr>
        <w:t xml:space="preserve"> for four sample inputs. Each row represents one output character being generated, and each column represents one input character. Brighter (yellow/orange) cell</w:t>
      </w:r>
      <w:r w:rsidRPr="00343B35">
        <w:rPr>
          <w:color w:val="000000" w:themeColor="text1"/>
        </w:rPr>
        <w:t>s indicate higher attention weight — the model is focusing on that input character when generating the output. For '</w:t>
      </w:r>
      <w:proofErr w:type="gramStart"/>
      <w:r w:rsidRPr="00343B35">
        <w:rPr>
          <w:color w:val="000000" w:themeColor="text1"/>
        </w:rPr>
        <w:t>twenty three</w:t>
      </w:r>
      <w:proofErr w:type="gramEnd"/>
      <w:r w:rsidRPr="00343B35">
        <w:rPr>
          <w:color w:val="000000" w:themeColor="text1"/>
        </w:rPr>
        <w:t xml:space="preserve"> </w:t>
      </w:r>
      <w:r w:rsidRPr="00343B35">
        <w:rPr>
          <w:rFonts w:ascii="Segoe UI Symbol" w:eastAsia="Segoe UI Symbol" w:hAnsi="Segoe UI Symbol" w:cs="Segoe UI Symbol"/>
          <w:color w:val="000000" w:themeColor="text1"/>
        </w:rPr>
        <w:t>→</w:t>
      </w:r>
      <w:r w:rsidRPr="00343B35">
        <w:rPr>
          <w:color w:val="000000" w:themeColor="text1"/>
        </w:rPr>
        <w:t xml:space="preserve"> 23', we can see the model attends to the first part of the word for '2' and the second part for '3'.</w:t>
      </w:r>
    </w:p>
    <w:p w14:paraId="5F46E650" w14:textId="77777777" w:rsidR="005A1726" w:rsidRPr="00343B35" w:rsidRDefault="00343B35">
      <w:pPr>
        <w:pStyle w:val="Heading3"/>
        <w:ind w:left="-5"/>
        <w:rPr>
          <w:color w:val="000000" w:themeColor="text1"/>
        </w:rPr>
      </w:pPr>
      <w:r w:rsidRPr="00343B35">
        <w:rPr>
          <w:color w:val="000000" w:themeColor="text1"/>
        </w:rPr>
        <w:t>4.2 How Attention Helps:</w:t>
      </w:r>
      <w:r w:rsidRPr="00343B35">
        <w:rPr>
          <w:color w:val="000000" w:themeColor="text1"/>
        </w:rPr>
        <w:t xml:space="preserve"> Technical Analysis</w:t>
      </w:r>
    </w:p>
    <w:p w14:paraId="3DFE86B2" w14:textId="77777777" w:rsidR="005A1726" w:rsidRPr="00343B35" w:rsidRDefault="00343B35">
      <w:pPr>
        <w:spacing w:after="135"/>
        <w:ind w:left="-5"/>
        <w:rPr>
          <w:color w:val="000000" w:themeColor="text1"/>
        </w:rPr>
      </w:pPr>
      <w:r w:rsidRPr="00343B35">
        <w:rPr>
          <w:color w:val="000000" w:themeColor="text1"/>
        </w:rPr>
        <w:t>The attention mechanism improves the model in three key ways:</w:t>
      </w:r>
    </w:p>
    <w:p w14:paraId="68822943" w14:textId="77777777" w:rsidR="005A1726" w:rsidRPr="00343B35" w:rsidRDefault="00343B35">
      <w:pPr>
        <w:numPr>
          <w:ilvl w:val="0"/>
          <w:numId w:val="2"/>
        </w:numPr>
        <w:spacing w:after="173" w:line="292" w:lineRule="auto"/>
        <w:jc w:val="left"/>
        <w:rPr>
          <w:color w:val="000000" w:themeColor="text1"/>
        </w:rPr>
      </w:pPr>
      <w:r w:rsidRPr="00343B35">
        <w:rPr>
          <w:b/>
          <w:color w:val="000000" w:themeColor="text1"/>
        </w:rPr>
        <w:t>Dynamic Context:</w:t>
      </w:r>
      <w:r w:rsidRPr="00343B35">
        <w:rPr>
          <w:color w:val="000000" w:themeColor="text1"/>
        </w:rPr>
        <w:t xml:space="preserve"> Instead of using a single fixed vector from the encoder, attention computes a different weighted combination of encoder states for each decoder step. This means the decoder always has access to the full input signal, just focused differently at each step.</w:t>
      </w:r>
    </w:p>
    <w:p w14:paraId="6475DDEF" w14:textId="77777777" w:rsidR="005A1726" w:rsidRPr="00343B35" w:rsidRDefault="00343B35">
      <w:pPr>
        <w:numPr>
          <w:ilvl w:val="0"/>
          <w:numId w:val="2"/>
        </w:numPr>
        <w:spacing w:after="173" w:line="292" w:lineRule="auto"/>
        <w:jc w:val="left"/>
        <w:rPr>
          <w:color w:val="000000" w:themeColor="text1"/>
        </w:rPr>
      </w:pPr>
      <w:r w:rsidRPr="00343B35">
        <w:rPr>
          <w:b/>
          <w:color w:val="000000" w:themeColor="text1"/>
        </w:rPr>
        <w:t>Alignment Learning:</w:t>
      </w:r>
      <w:r w:rsidRPr="00343B35">
        <w:rPr>
          <w:color w:val="000000" w:themeColor="text1"/>
        </w:rPr>
        <w:t xml:space="preserve"> The attention weights implicitly learn soft alignments between input and output tokens without any explicit supervision. In our experiment, the model learned that the first syllable of a number word corresponds to the first output digi</w:t>
      </w:r>
      <w:r w:rsidRPr="00343B35">
        <w:rPr>
          <w:color w:val="000000" w:themeColor="text1"/>
        </w:rPr>
        <w:t>t.</w:t>
      </w:r>
    </w:p>
    <w:p w14:paraId="18CFF790" w14:textId="77777777" w:rsidR="005A1726" w:rsidRPr="00343B35" w:rsidRDefault="00343B35">
      <w:pPr>
        <w:numPr>
          <w:ilvl w:val="0"/>
          <w:numId w:val="2"/>
        </w:numPr>
        <w:spacing w:after="393" w:line="292" w:lineRule="auto"/>
        <w:jc w:val="left"/>
        <w:rPr>
          <w:color w:val="000000" w:themeColor="text1"/>
        </w:rPr>
      </w:pPr>
      <w:r w:rsidRPr="00343B35">
        <w:rPr>
          <w:b/>
          <w:color w:val="000000" w:themeColor="text1"/>
        </w:rPr>
        <w:t>Gradient Flow:</w:t>
      </w:r>
      <w:r w:rsidRPr="00343B35">
        <w:rPr>
          <w:color w:val="000000" w:themeColor="text1"/>
        </w:rPr>
        <w:t xml:space="preserve"> Attention provides shorter gradient paths between output tokens and their relevant input tokens. This helps the model learn long-range dependencies that are otherwise lost through the many GRU steps in a standard encoder.</w:t>
      </w:r>
    </w:p>
    <w:p w14:paraId="7D590BB4" w14:textId="77777777" w:rsidR="005A1726" w:rsidRPr="00343B35" w:rsidRDefault="00343B35">
      <w:pPr>
        <w:pStyle w:val="Heading3"/>
        <w:ind w:left="-5"/>
        <w:rPr>
          <w:color w:val="000000" w:themeColor="text1"/>
        </w:rPr>
      </w:pPr>
      <w:r w:rsidRPr="00343B35">
        <w:rPr>
          <w:color w:val="000000" w:themeColor="text1"/>
        </w:rPr>
        <w:t>4.3 Baseline Lim</w:t>
      </w:r>
      <w:r w:rsidRPr="00343B35">
        <w:rPr>
          <w:color w:val="000000" w:themeColor="text1"/>
        </w:rPr>
        <w:t>itations Analysis</w:t>
      </w:r>
    </w:p>
    <w:p w14:paraId="5C22E1AA" w14:textId="77777777" w:rsidR="005A1726" w:rsidRPr="00343B35" w:rsidRDefault="00343B35">
      <w:pPr>
        <w:spacing w:after="349"/>
        <w:ind w:left="-5"/>
        <w:rPr>
          <w:color w:val="000000" w:themeColor="text1"/>
        </w:rPr>
      </w:pPr>
      <w:r w:rsidRPr="00343B35">
        <w:rPr>
          <w:color w:val="000000" w:themeColor="text1"/>
        </w:rPr>
        <w:t>The baseline (no attention) model misclassified 3 out of 34 examples (89.2% accuracy). The failures were all cases where the input had multiple syllables that contributed independently to different output digits — for example, compound nu</w:t>
      </w:r>
      <w:r w:rsidRPr="00343B35">
        <w:rPr>
          <w:color w:val="000000" w:themeColor="text1"/>
        </w:rPr>
        <w:t xml:space="preserve">mbers like 'two hundred'. In these </w:t>
      </w:r>
      <w:proofErr w:type="gramStart"/>
      <w:r w:rsidRPr="00343B35">
        <w:rPr>
          <w:color w:val="000000" w:themeColor="text1"/>
        </w:rPr>
        <w:t>cases</w:t>
      </w:r>
      <w:proofErr w:type="gramEnd"/>
      <w:r w:rsidRPr="00343B35">
        <w:rPr>
          <w:color w:val="000000" w:themeColor="text1"/>
        </w:rPr>
        <w:t xml:space="preserve"> the model's fixed context vector failed to preserve both 'two' and 'hundred' with enough resolution to generate '200' correctly.</w:t>
      </w:r>
    </w:p>
    <w:p w14:paraId="4138188A" w14:textId="77777777" w:rsidR="005A1726" w:rsidRPr="00343B35" w:rsidRDefault="00343B35">
      <w:pPr>
        <w:pStyle w:val="Heading2"/>
        <w:spacing w:after="177"/>
        <w:ind w:left="-5"/>
        <w:rPr>
          <w:color w:val="000000" w:themeColor="text1"/>
        </w:rPr>
      </w:pPr>
      <w:r w:rsidRPr="00343B35">
        <w:rPr>
          <w:color w:val="000000" w:themeColor="text1"/>
        </w:rPr>
        <w:t>Part 5: Conclusion</w:t>
      </w:r>
    </w:p>
    <w:p w14:paraId="2012418C" w14:textId="77777777" w:rsidR="005A1726" w:rsidRPr="00343B35" w:rsidRDefault="00343B35">
      <w:pPr>
        <w:spacing w:after="129"/>
        <w:ind w:left="-5"/>
        <w:rPr>
          <w:color w:val="000000" w:themeColor="text1"/>
        </w:rPr>
      </w:pPr>
      <w:r w:rsidRPr="00343B35">
        <w:rPr>
          <w:color w:val="000000" w:themeColor="text1"/>
        </w:rPr>
        <w:t>This assignment demonstrated, through hands-on implementation and c</w:t>
      </w:r>
      <w:r w:rsidRPr="00343B35">
        <w:rPr>
          <w:color w:val="000000" w:themeColor="text1"/>
        </w:rPr>
        <w:t xml:space="preserve">omparison, that the </w:t>
      </w:r>
      <w:proofErr w:type="spellStart"/>
      <w:r w:rsidRPr="00343B35">
        <w:rPr>
          <w:color w:val="000000" w:themeColor="text1"/>
        </w:rPr>
        <w:t>Bahdanau</w:t>
      </w:r>
      <w:proofErr w:type="spellEnd"/>
      <w:r w:rsidRPr="00343B35">
        <w:rPr>
          <w:color w:val="000000" w:themeColor="text1"/>
        </w:rPr>
        <w:t xml:space="preserve"> attention mechanism is a critical improvement over standard Encoder-Decoder architectures. Our key findings are summarized below:</w:t>
      </w:r>
    </w:p>
    <w:p w14:paraId="77696269" w14:textId="77777777" w:rsidR="005A1726" w:rsidRPr="00343B35" w:rsidRDefault="00343B35">
      <w:pPr>
        <w:numPr>
          <w:ilvl w:val="0"/>
          <w:numId w:val="3"/>
        </w:numPr>
        <w:spacing w:after="55"/>
        <w:ind w:hanging="126"/>
        <w:rPr>
          <w:color w:val="000000" w:themeColor="text1"/>
        </w:rPr>
      </w:pPr>
      <w:r w:rsidRPr="00343B35">
        <w:rPr>
          <w:color w:val="000000" w:themeColor="text1"/>
        </w:rPr>
        <w:t>The attention model achieved 100% exact-match accuracy vs 89.2% for the baseline on our task</w:t>
      </w:r>
    </w:p>
    <w:p w14:paraId="20F14C15" w14:textId="77777777" w:rsidR="005A1726" w:rsidRPr="00343B35" w:rsidRDefault="00343B35">
      <w:pPr>
        <w:numPr>
          <w:ilvl w:val="0"/>
          <w:numId w:val="3"/>
        </w:numPr>
        <w:ind w:hanging="126"/>
        <w:rPr>
          <w:color w:val="000000" w:themeColor="text1"/>
        </w:rPr>
      </w:pPr>
      <w:r w:rsidRPr="00343B35">
        <w:rPr>
          <w:color w:val="000000" w:themeColor="text1"/>
        </w:rPr>
        <w:t>Fina</w:t>
      </w:r>
      <w:r w:rsidRPr="00343B35">
        <w:rPr>
          <w:color w:val="000000" w:themeColor="text1"/>
        </w:rPr>
        <w:t>l training loss was 5.4× lower with attention (0.0009 vs 0.0049)</w:t>
      </w:r>
    </w:p>
    <w:p w14:paraId="640097DF" w14:textId="77777777" w:rsidR="005A1726" w:rsidRPr="00343B35" w:rsidRDefault="00343B35">
      <w:pPr>
        <w:numPr>
          <w:ilvl w:val="0"/>
          <w:numId w:val="3"/>
        </w:numPr>
        <w:spacing w:after="55"/>
        <w:ind w:hanging="126"/>
        <w:rPr>
          <w:color w:val="000000" w:themeColor="text1"/>
        </w:rPr>
      </w:pPr>
      <w:r w:rsidRPr="00343B35">
        <w:rPr>
          <w:color w:val="000000" w:themeColor="text1"/>
        </w:rPr>
        <w:lastRenderedPageBreak/>
        <w:t xml:space="preserve">Attention </w:t>
      </w:r>
      <w:proofErr w:type="spellStart"/>
      <w:r w:rsidRPr="00343B35">
        <w:rPr>
          <w:color w:val="000000" w:themeColor="text1"/>
        </w:rPr>
        <w:t>heatmaps</w:t>
      </w:r>
      <w:proofErr w:type="spellEnd"/>
      <w:r w:rsidRPr="00343B35">
        <w:rPr>
          <w:color w:val="000000" w:themeColor="text1"/>
        </w:rPr>
        <w:t xml:space="preserve"> confirm that the model learns meaningful input-output alignments</w:t>
      </w:r>
    </w:p>
    <w:p w14:paraId="05CF227A" w14:textId="77777777" w:rsidR="005A1726" w:rsidRPr="00343B35" w:rsidRDefault="00343B35">
      <w:pPr>
        <w:numPr>
          <w:ilvl w:val="0"/>
          <w:numId w:val="3"/>
        </w:numPr>
        <w:spacing w:after="55"/>
        <w:ind w:hanging="126"/>
        <w:rPr>
          <w:color w:val="000000" w:themeColor="text1"/>
        </w:rPr>
      </w:pPr>
      <w:r w:rsidRPr="00343B35">
        <w:rPr>
          <w:color w:val="000000" w:themeColor="text1"/>
        </w:rPr>
        <w:t>The additional compute cost (18 seconds extra training time) is well justified by the gains</w:t>
      </w:r>
    </w:p>
    <w:p w14:paraId="766A5B56" w14:textId="77777777" w:rsidR="005A1726" w:rsidRPr="00343B35" w:rsidRDefault="00343B35">
      <w:pPr>
        <w:numPr>
          <w:ilvl w:val="0"/>
          <w:numId w:val="3"/>
        </w:numPr>
        <w:spacing w:after="278"/>
        <w:ind w:hanging="126"/>
        <w:rPr>
          <w:color w:val="000000" w:themeColor="text1"/>
        </w:rPr>
      </w:pPr>
      <w:r w:rsidRPr="00343B35">
        <w:rPr>
          <w:color w:val="000000" w:themeColor="text1"/>
        </w:rPr>
        <w:t>The fixed conte</w:t>
      </w:r>
      <w:r w:rsidRPr="00343B35">
        <w:rPr>
          <w:color w:val="000000" w:themeColor="text1"/>
        </w:rPr>
        <w:t xml:space="preserve">xt vector is a genuine bottleneck that prevents the baseline from </w:t>
      </w:r>
      <w:proofErr w:type="spellStart"/>
      <w:r w:rsidRPr="00343B35">
        <w:rPr>
          <w:color w:val="000000" w:themeColor="text1"/>
        </w:rPr>
        <w:t>learningmulti</w:t>
      </w:r>
      <w:proofErr w:type="spellEnd"/>
      <w:r w:rsidRPr="00343B35">
        <w:rPr>
          <w:color w:val="000000" w:themeColor="text1"/>
        </w:rPr>
        <w:t>-component mappings</w:t>
      </w:r>
    </w:p>
    <w:p w14:paraId="693EFB35" w14:textId="77777777" w:rsidR="005A1726" w:rsidRPr="00343B35" w:rsidRDefault="00343B35">
      <w:pPr>
        <w:ind w:left="-5"/>
        <w:rPr>
          <w:color w:val="000000" w:themeColor="text1"/>
        </w:rPr>
      </w:pPr>
      <w:r w:rsidRPr="00343B35">
        <w:rPr>
          <w:color w:val="000000" w:themeColor="text1"/>
        </w:rPr>
        <w:t>The attention mechanism remains one of the most important innovations in deep learning for NLP. It directly inspired the Transformer architecture (</w:t>
      </w:r>
      <w:proofErr w:type="spellStart"/>
      <w:r w:rsidRPr="00343B35">
        <w:rPr>
          <w:color w:val="000000" w:themeColor="text1"/>
        </w:rPr>
        <w:t>Vaswani</w:t>
      </w:r>
      <w:proofErr w:type="spellEnd"/>
      <w:r w:rsidRPr="00343B35">
        <w:rPr>
          <w:color w:val="000000" w:themeColor="text1"/>
        </w:rPr>
        <w:t xml:space="preserve"> et</w:t>
      </w:r>
      <w:r w:rsidRPr="00343B35">
        <w:rPr>
          <w:color w:val="000000" w:themeColor="text1"/>
        </w:rPr>
        <w:t xml:space="preserve"> al., 2017), which is now the backbone of all modern large language models. Understanding additive attention and its role in seq2seq learning is therefore a fundamental skill for any practitioner in the field. Real-world applications include machine transl</w:t>
      </w:r>
      <w:r w:rsidRPr="00343B35">
        <w:rPr>
          <w:color w:val="000000" w:themeColor="text1"/>
        </w:rPr>
        <w:t>ation, abstractive summarization, speech recognition, and code generation — all areas where dynamic alignment between variable-length input and output sequences is essential.</w:t>
      </w:r>
    </w:p>
    <w:p w14:paraId="303821F5" w14:textId="77777777" w:rsidR="005A1726" w:rsidRPr="00343B35" w:rsidRDefault="00343B35">
      <w:pPr>
        <w:spacing w:after="395" w:line="259" w:lineRule="auto"/>
        <w:ind w:left="0" w:firstLine="0"/>
        <w:jc w:val="left"/>
        <w:rPr>
          <w:color w:val="000000" w:themeColor="text1"/>
        </w:rPr>
      </w:pPr>
      <w:r w:rsidRPr="00343B35">
        <w:rPr>
          <w:rFonts w:ascii="Calibri" w:eastAsia="Calibri" w:hAnsi="Calibri" w:cs="Calibri"/>
          <w:noProof/>
          <w:color w:val="000000" w:themeColor="text1"/>
          <w:sz w:val="22"/>
        </w:rPr>
        <mc:AlternateContent>
          <mc:Choice Requires="wpg">
            <w:drawing>
              <wp:inline distT="0" distB="0" distL="0" distR="0" wp14:anchorId="4E0A90E6" wp14:editId="0665B8B3">
                <wp:extent cx="5967601" cy="12700"/>
                <wp:effectExtent l="0" t="0" r="0" b="0"/>
                <wp:docPr id="4515" name="Group 451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4" name="Shape 36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4515" style="width:469.89pt;height:1pt;mso-position-horizontal-relative:char;mso-position-vertical-relative:line" coordsize="59676,127">
                <v:shape id="Shape 364" style="position:absolute;width:59676;height:0;left:0;top:0;" coordsize="5967601,0" path="m0,0l5967601,0">
                  <v:stroke weight="1pt" endcap="round" joinstyle="miter" miterlimit="10" on="true" color="#cccccc"/>
                  <v:fill on="false" color="#000000" opacity="0"/>
                </v:shape>
              </v:group>
            </w:pict>
          </mc:Fallback>
        </mc:AlternateContent>
      </w:r>
    </w:p>
    <w:p w14:paraId="747B7796" w14:textId="77777777" w:rsidR="005A1726" w:rsidRPr="00343B35" w:rsidRDefault="00343B35">
      <w:pPr>
        <w:pStyle w:val="Heading3"/>
        <w:ind w:left="-5"/>
        <w:rPr>
          <w:color w:val="000000" w:themeColor="text1"/>
        </w:rPr>
      </w:pPr>
      <w:r w:rsidRPr="00343B35">
        <w:rPr>
          <w:color w:val="000000" w:themeColor="text1"/>
        </w:rPr>
        <w:t>References</w:t>
      </w:r>
    </w:p>
    <w:p w14:paraId="3FA7AF8D" w14:textId="77777777" w:rsidR="005A1726" w:rsidRPr="00343B35" w:rsidRDefault="00343B35">
      <w:pPr>
        <w:numPr>
          <w:ilvl w:val="0"/>
          <w:numId w:val="4"/>
        </w:numPr>
        <w:spacing w:after="57" w:line="352" w:lineRule="auto"/>
        <w:ind w:hanging="200"/>
        <w:jc w:val="left"/>
        <w:rPr>
          <w:color w:val="000000" w:themeColor="text1"/>
        </w:rPr>
      </w:pPr>
      <w:proofErr w:type="spellStart"/>
      <w:r w:rsidRPr="00343B35">
        <w:rPr>
          <w:color w:val="000000" w:themeColor="text1"/>
          <w:sz w:val="18"/>
        </w:rPr>
        <w:t>Bahdanau</w:t>
      </w:r>
      <w:proofErr w:type="spellEnd"/>
      <w:r w:rsidRPr="00343B35">
        <w:rPr>
          <w:color w:val="000000" w:themeColor="text1"/>
          <w:sz w:val="18"/>
        </w:rPr>
        <w:t xml:space="preserve">, D., Cho, K., &amp; </w:t>
      </w:r>
      <w:proofErr w:type="spellStart"/>
      <w:r w:rsidRPr="00343B35">
        <w:rPr>
          <w:color w:val="000000" w:themeColor="text1"/>
          <w:sz w:val="18"/>
        </w:rPr>
        <w:t>Bengio</w:t>
      </w:r>
      <w:proofErr w:type="spellEnd"/>
      <w:r w:rsidRPr="00343B35">
        <w:rPr>
          <w:color w:val="000000" w:themeColor="text1"/>
          <w:sz w:val="18"/>
        </w:rPr>
        <w:t xml:space="preserve">, Y. (2015). Neural Machine </w:t>
      </w:r>
      <w:r w:rsidRPr="00343B35">
        <w:rPr>
          <w:color w:val="000000" w:themeColor="text1"/>
          <w:sz w:val="18"/>
        </w:rPr>
        <w:t xml:space="preserve">Translation by Jointly Learning to Align and </w:t>
      </w:r>
      <w:proofErr w:type="spellStart"/>
      <w:r w:rsidRPr="00343B35">
        <w:rPr>
          <w:color w:val="000000" w:themeColor="text1"/>
          <w:sz w:val="18"/>
        </w:rPr>
        <w:t>Translate.ICLR</w:t>
      </w:r>
      <w:proofErr w:type="spellEnd"/>
      <w:r w:rsidRPr="00343B35">
        <w:rPr>
          <w:color w:val="000000" w:themeColor="text1"/>
          <w:sz w:val="18"/>
        </w:rPr>
        <w:t xml:space="preserve"> 2015.</w:t>
      </w:r>
    </w:p>
    <w:p w14:paraId="1F068A05" w14:textId="77777777" w:rsidR="005A1726" w:rsidRPr="00343B35" w:rsidRDefault="00343B35">
      <w:pPr>
        <w:numPr>
          <w:ilvl w:val="0"/>
          <w:numId w:val="4"/>
        </w:numPr>
        <w:spacing w:after="57" w:line="352" w:lineRule="auto"/>
        <w:ind w:hanging="200"/>
        <w:jc w:val="left"/>
        <w:rPr>
          <w:color w:val="000000" w:themeColor="text1"/>
        </w:rPr>
      </w:pPr>
      <w:r w:rsidRPr="00343B35">
        <w:rPr>
          <w:color w:val="000000" w:themeColor="text1"/>
          <w:sz w:val="18"/>
        </w:rPr>
        <w:t xml:space="preserve">Luong, M. T., Pham, H., &amp; Manning, C. D. (2015). Effective Approaches to Attention-based Neural </w:t>
      </w:r>
      <w:proofErr w:type="spellStart"/>
      <w:r w:rsidRPr="00343B35">
        <w:rPr>
          <w:color w:val="000000" w:themeColor="text1"/>
          <w:sz w:val="18"/>
        </w:rPr>
        <w:t>MachineTranslation</w:t>
      </w:r>
      <w:proofErr w:type="spellEnd"/>
      <w:r w:rsidRPr="00343B35">
        <w:rPr>
          <w:color w:val="000000" w:themeColor="text1"/>
          <w:sz w:val="18"/>
        </w:rPr>
        <w:t>. EMNLP 2015.</w:t>
      </w:r>
    </w:p>
    <w:p w14:paraId="58E99477" w14:textId="77777777" w:rsidR="005A1726" w:rsidRPr="00343B35" w:rsidRDefault="00343B35">
      <w:pPr>
        <w:numPr>
          <w:ilvl w:val="0"/>
          <w:numId w:val="4"/>
        </w:numPr>
        <w:spacing w:after="154" w:line="259" w:lineRule="auto"/>
        <w:ind w:hanging="200"/>
        <w:jc w:val="left"/>
        <w:rPr>
          <w:color w:val="000000" w:themeColor="text1"/>
        </w:rPr>
      </w:pPr>
      <w:proofErr w:type="spellStart"/>
      <w:r w:rsidRPr="00343B35">
        <w:rPr>
          <w:color w:val="000000" w:themeColor="text1"/>
          <w:sz w:val="18"/>
        </w:rPr>
        <w:t>Vaswani</w:t>
      </w:r>
      <w:proofErr w:type="spellEnd"/>
      <w:r w:rsidRPr="00343B35">
        <w:rPr>
          <w:color w:val="000000" w:themeColor="text1"/>
          <w:sz w:val="18"/>
        </w:rPr>
        <w:t xml:space="preserve">, A., et al. (2017). Attention is All You Need. </w:t>
      </w:r>
      <w:proofErr w:type="spellStart"/>
      <w:r w:rsidRPr="00343B35">
        <w:rPr>
          <w:color w:val="000000" w:themeColor="text1"/>
          <w:sz w:val="18"/>
        </w:rPr>
        <w:t>NeurIPS</w:t>
      </w:r>
      <w:proofErr w:type="spellEnd"/>
      <w:r w:rsidRPr="00343B35">
        <w:rPr>
          <w:color w:val="000000" w:themeColor="text1"/>
          <w:sz w:val="18"/>
        </w:rPr>
        <w:t xml:space="preserve"> 2017.</w:t>
      </w:r>
    </w:p>
    <w:p w14:paraId="13F19158" w14:textId="77777777" w:rsidR="005A1726" w:rsidRPr="00343B35" w:rsidRDefault="00343B35">
      <w:pPr>
        <w:numPr>
          <w:ilvl w:val="0"/>
          <w:numId w:val="4"/>
        </w:numPr>
        <w:spacing w:after="57" w:line="352" w:lineRule="auto"/>
        <w:ind w:hanging="200"/>
        <w:jc w:val="left"/>
        <w:rPr>
          <w:color w:val="000000" w:themeColor="text1"/>
        </w:rPr>
      </w:pPr>
      <w:r w:rsidRPr="00343B35">
        <w:rPr>
          <w:color w:val="000000" w:themeColor="text1"/>
          <w:sz w:val="18"/>
        </w:rPr>
        <w:t xml:space="preserve">IJRAR24D2346. </w:t>
      </w:r>
      <w:r w:rsidRPr="00343B35">
        <w:rPr>
          <w:color w:val="000000" w:themeColor="text1"/>
          <w:sz w:val="18"/>
        </w:rPr>
        <w:tab/>
        <w:t xml:space="preserve">Seq2Seq </w:t>
      </w:r>
      <w:r w:rsidRPr="00343B35">
        <w:rPr>
          <w:color w:val="000000" w:themeColor="text1"/>
          <w:sz w:val="18"/>
        </w:rPr>
        <w:tab/>
        <w:t xml:space="preserve">with </w:t>
      </w:r>
      <w:r w:rsidRPr="00343B35">
        <w:rPr>
          <w:color w:val="000000" w:themeColor="text1"/>
          <w:sz w:val="18"/>
        </w:rPr>
        <w:tab/>
        <w:t xml:space="preserve">Attention </w:t>
      </w:r>
      <w:r w:rsidRPr="00343B35">
        <w:rPr>
          <w:color w:val="000000" w:themeColor="text1"/>
          <w:sz w:val="18"/>
        </w:rPr>
        <w:tab/>
        <w:t xml:space="preserve">for </w:t>
      </w:r>
      <w:r w:rsidRPr="00343B35">
        <w:rPr>
          <w:color w:val="000000" w:themeColor="text1"/>
          <w:sz w:val="18"/>
        </w:rPr>
        <w:tab/>
        <w:t xml:space="preserve">Text </w:t>
      </w:r>
      <w:r w:rsidRPr="00343B35">
        <w:rPr>
          <w:color w:val="000000" w:themeColor="text1"/>
          <w:sz w:val="18"/>
        </w:rPr>
        <w:tab/>
        <w:t xml:space="preserve">Summarization. </w:t>
      </w:r>
      <w:r w:rsidRPr="00343B35">
        <w:rPr>
          <w:color w:val="000000" w:themeColor="text1"/>
          <w:sz w:val="18"/>
        </w:rPr>
        <w:tab/>
        <w:t xml:space="preserve">IJRAR </w:t>
      </w:r>
      <w:r w:rsidRPr="00343B35">
        <w:rPr>
          <w:color w:val="000000" w:themeColor="text1"/>
          <w:sz w:val="18"/>
        </w:rPr>
        <w:tab/>
        <w:t>2024. https://ijrar.org/papers/IJRAR24D2346.pdf</w:t>
      </w:r>
    </w:p>
    <w:p w14:paraId="356196F7" w14:textId="77777777" w:rsidR="005A1726" w:rsidRPr="00343B35" w:rsidRDefault="00343B35">
      <w:pPr>
        <w:numPr>
          <w:ilvl w:val="0"/>
          <w:numId w:val="4"/>
        </w:numPr>
        <w:spacing w:after="136" w:line="259" w:lineRule="auto"/>
        <w:ind w:hanging="200"/>
        <w:jc w:val="left"/>
        <w:rPr>
          <w:color w:val="000000" w:themeColor="text1"/>
        </w:rPr>
      </w:pPr>
      <w:proofErr w:type="spellStart"/>
      <w:r w:rsidRPr="00343B35">
        <w:rPr>
          <w:color w:val="000000" w:themeColor="text1"/>
          <w:sz w:val="18"/>
        </w:rPr>
        <w:t>ArXiv</w:t>
      </w:r>
      <w:proofErr w:type="spellEnd"/>
      <w:r w:rsidRPr="00343B35">
        <w:rPr>
          <w:color w:val="000000" w:themeColor="text1"/>
          <w:sz w:val="18"/>
        </w:rPr>
        <w:t xml:space="preserve"> 2304.04052. Decoder-Only </w:t>
      </w:r>
      <w:proofErr w:type="gramStart"/>
      <w:r w:rsidRPr="00343B35">
        <w:rPr>
          <w:color w:val="000000" w:themeColor="text1"/>
          <w:sz w:val="18"/>
        </w:rPr>
        <w:t>vs</w:t>
      </w:r>
      <w:proofErr w:type="gramEnd"/>
      <w:r w:rsidRPr="00343B35">
        <w:rPr>
          <w:color w:val="000000" w:themeColor="text1"/>
          <w:sz w:val="18"/>
        </w:rPr>
        <w:t xml:space="preserve"> Encoder–Decoder: A Comparative Study. 2023.</w:t>
      </w:r>
    </w:p>
    <w:p w14:paraId="7BE94BD5" w14:textId="77777777" w:rsidR="005A1726" w:rsidRPr="00343B35" w:rsidRDefault="00343B35">
      <w:pPr>
        <w:numPr>
          <w:ilvl w:val="0"/>
          <w:numId w:val="4"/>
        </w:numPr>
        <w:spacing w:after="57" w:line="352" w:lineRule="auto"/>
        <w:ind w:hanging="200"/>
        <w:jc w:val="left"/>
        <w:rPr>
          <w:color w:val="000000" w:themeColor="text1"/>
        </w:rPr>
      </w:pPr>
      <w:r w:rsidRPr="00343B35">
        <w:rPr>
          <w:color w:val="000000" w:themeColor="text1"/>
          <w:sz w:val="18"/>
        </w:rPr>
        <w:t>Cho, K., et al. (2014). Learning Phrase Represen</w:t>
      </w:r>
      <w:r w:rsidRPr="00343B35">
        <w:rPr>
          <w:color w:val="000000" w:themeColor="text1"/>
          <w:sz w:val="18"/>
        </w:rPr>
        <w:t xml:space="preserve">tations using RNN Encoder-Decoder for Statistical </w:t>
      </w:r>
      <w:proofErr w:type="spellStart"/>
      <w:r w:rsidRPr="00343B35">
        <w:rPr>
          <w:color w:val="000000" w:themeColor="text1"/>
          <w:sz w:val="18"/>
        </w:rPr>
        <w:t>MachineTranslation</w:t>
      </w:r>
      <w:proofErr w:type="spellEnd"/>
      <w:r w:rsidRPr="00343B35">
        <w:rPr>
          <w:color w:val="000000" w:themeColor="text1"/>
          <w:sz w:val="18"/>
        </w:rPr>
        <w:t>. EMNLP 2014.</w:t>
      </w:r>
    </w:p>
    <w:sectPr w:rsidR="005A1726" w:rsidRPr="00343B35" w:rsidSect="00103F19">
      <w:pgSz w:w="11906" w:h="16838"/>
      <w:pgMar w:top="1254" w:right="1254" w:bottom="1334" w:left="125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6B7F6E"/>
    <w:multiLevelType w:val="hybridMultilevel"/>
    <w:tmpl w:val="ECAAF588"/>
    <w:lvl w:ilvl="0" w:tplc="24427940">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1185F9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BDC2DA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9B0F12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5EFB9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53C802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8051C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46BA5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9F27E3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CE830BE"/>
    <w:multiLevelType w:val="hybridMultilevel"/>
    <w:tmpl w:val="3AFC6692"/>
    <w:lvl w:ilvl="0" w:tplc="8FD8DA56">
      <w:start w:val="1"/>
      <w:numFmt w:val="bullet"/>
      <w:lvlText w:val="•"/>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34EB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B43F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A81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DAD60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0497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BCD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2285A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2A4A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482FFC"/>
    <w:multiLevelType w:val="hybridMultilevel"/>
    <w:tmpl w:val="0144F480"/>
    <w:lvl w:ilvl="0" w:tplc="7E761136">
      <w:start w:val="1"/>
      <w:numFmt w:val="bullet"/>
      <w:lvlText w:val="•"/>
      <w:lvlJc w:val="left"/>
      <w:pPr>
        <w:ind w:left="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C5D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5AD9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18B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EB8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4CE9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F2F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89D1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D293D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22E273D"/>
    <w:multiLevelType w:val="hybridMultilevel"/>
    <w:tmpl w:val="892CCB22"/>
    <w:lvl w:ilvl="0" w:tplc="4D88E744">
      <w:start w:val="1"/>
      <w:numFmt w:val="bullet"/>
      <w:lvlText w:val="•"/>
      <w:lvlJc w:val="left"/>
      <w:pPr>
        <w:ind w:left="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94DC8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328E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76C7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E43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9E31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3E0E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22EB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EC61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726"/>
    <w:rsid w:val="00103F19"/>
    <w:rsid w:val="00304494"/>
    <w:rsid w:val="00343B35"/>
    <w:rsid w:val="005A1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A812"/>
  <w15:docId w15:val="{90836ADF-9603-4AD1-8F03-05E7B97E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2" w:line="303"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jc w:val="center"/>
      <w:outlineLvl w:val="0"/>
    </w:pPr>
    <w:rPr>
      <w:rFonts w:ascii="Arial" w:eastAsia="Arial" w:hAnsi="Arial" w:cs="Arial"/>
      <w:b/>
      <w:color w:val="1A1A2E"/>
      <w:sz w:val="32"/>
    </w:rPr>
  </w:style>
  <w:style w:type="paragraph" w:styleId="Heading2">
    <w:name w:val="heading 2"/>
    <w:next w:val="Normal"/>
    <w:link w:val="Heading2Char"/>
    <w:uiPriority w:val="9"/>
    <w:unhideWhenUsed/>
    <w:qFormat/>
    <w:pPr>
      <w:keepNext/>
      <w:keepLines/>
      <w:spacing w:after="277" w:line="259" w:lineRule="auto"/>
      <w:ind w:left="10" w:hanging="10"/>
      <w:outlineLvl w:val="1"/>
    </w:pPr>
    <w:rPr>
      <w:rFonts w:ascii="Arial" w:eastAsia="Arial" w:hAnsi="Arial" w:cs="Arial"/>
      <w:b/>
      <w:color w:val="2C3E50"/>
      <w:sz w:val="26"/>
    </w:rPr>
  </w:style>
  <w:style w:type="paragraph" w:styleId="Heading3">
    <w:name w:val="heading 3"/>
    <w:next w:val="Normal"/>
    <w:link w:val="Heading3Char"/>
    <w:uiPriority w:val="9"/>
    <w:unhideWhenUsed/>
    <w:qFormat/>
    <w:pPr>
      <w:keepNext/>
      <w:keepLines/>
      <w:spacing w:after="147"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3E50"/>
      <w:sz w:val="26"/>
    </w:rPr>
  </w:style>
  <w:style w:type="character" w:customStyle="1" w:styleId="Heading1Char">
    <w:name w:val="Heading 1 Char"/>
    <w:link w:val="Heading1"/>
    <w:rPr>
      <w:rFonts w:ascii="Arial" w:eastAsia="Arial" w:hAnsi="Arial" w:cs="Arial"/>
      <w:b/>
      <w:color w:val="1A1A2E"/>
      <w:sz w:val="32"/>
    </w:rPr>
  </w:style>
  <w:style w:type="character" w:customStyle="1" w:styleId="Heading3Char">
    <w:name w:val="Heading 3 Char"/>
    <w:link w:val="Heading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Nirjara More</dc:creator>
  <cp:keywords/>
  <cp:lastModifiedBy>Nirjara</cp:lastModifiedBy>
  <cp:revision>2</cp:revision>
  <dcterms:created xsi:type="dcterms:W3CDTF">2026-04-28T17:37:00Z</dcterms:created>
  <dcterms:modified xsi:type="dcterms:W3CDTF">2026-04-28T17:37:00Z</dcterms:modified>
</cp:coreProperties>
</file>