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1AB9" w14:textId="79794736"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 The extracted contig is tested for circularity by comparing the ends of the contig and finding overlaps. Any overlapping base pairs are </w:t>
      </w:r>
      <w:proofErr w:type="gramStart"/>
      <w:r w:rsidR="00FE1F14">
        <w:rPr>
          <w:rFonts w:ascii="Segoe UI" w:hAnsi="Segoe UI" w:cs="Segoe UI"/>
          <w:color w:val="333333"/>
          <w:sz w:val="27"/>
          <w:szCs w:val="27"/>
          <w:shd w:val="clear" w:color="auto" w:fill="FFFFFF"/>
        </w:rPr>
        <w:t>cut</w:t>
      </w:r>
      <w:proofErr w:type="gramEnd"/>
      <w:r w:rsidR="00FE1F14">
        <w:rPr>
          <w:rFonts w:ascii="Segoe UI" w:hAnsi="Segoe UI" w:cs="Segoe UI"/>
          <w:color w:val="333333"/>
          <w:sz w:val="27"/>
          <w:szCs w:val="27"/>
          <w:shd w:val="clear" w:color="auto" w:fill="FFFFFF"/>
        </w:rPr>
        <w:t xml:space="preserve">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54154688" w14:textId="452E05F9" w:rsidR="004405D6" w:rsidRDefault="004405D6"/>
    <w:p w14:paraId="11A80A82" w14:textId="7AC6E7E9" w:rsidR="004405D6" w:rsidRDefault="004405D6">
      <w:pPr>
        <w:rPr>
          <w:color w:val="2A2A2A"/>
          <w:sz w:val="33"/>
          <w:szCs w:val="33"/>
          <w:shd w:val="clear" w:color="auto" w:fill="EFF2F7"/>
        </w:rPr>
      </w:pPr>
      <w:proofErr w:type="spellStart"/>
      <w:r>
        <w:rPr>
          <w:b/>
          <w:bCs/>
          <w:sz w:val="50"/>
          <w:szCs w:val="50"/>
        </w:rPr>
        <w:t>MITObim</w:t>
      </w:r>
      <w:proofErr w:type="spellEnd"/>
      <w:r>
        <w:rPr>
          <w:b/>
          <w:bCs/>
          <w:sz w:val="50"/>
          <w:szCs w:val="50"/>
        </w:rPr>
        <w:t xml:space="preserve"> (</w:t>
      </w:r>
      <w:proofErr w:type="spellStart"/>
      <w:r>
        <w:rPr>
          <w:color w:val="2A2A2A"/>
          <w:sz w:val="33"/>
          <w:szCs w:val="33"/>
          <w:shd w:val="clear" w:color="auto" w:fill="EFF2F7"/>
        </w:rPr>
        <w:t>MITO</w:t>
      </w:r>
      <w:r w:rsidRPr="004405D6">
        <w:rPr>
          <w:color w:val="2A2A2A"/>
          <w:sz w:val="33"/>
          <w:szCs w:val="33"/>
          <w:shd w:val="clear" w:color="auto" w:fill="EFF2F7"/>
        </w:rPr>
        <w:t>chondrial</w:t>
      </w:r>
      <w:proofErr w:type="spellEnd"/>
      <w:r w:rsidRPr="004405D6">
        <w:rPr>
          <w:color w:val="2A2A2A"/>
          <w:sz w:val="33"/>
          <w:szCs w:val="33"/>
          <w:shd w:val="clear" w:color="auto" w:fill="EFF2F7"/>
        </w:rPr>
        <w:t xml:space="preserve"> baiting and iterative mapping</w:t>
      </w:r>
      <w:r>
        <w:rPr>
          <w:color w:val="2A2A2A"/>
          <w:sz w:val="33"/>
          <w:szCs w:val="33"/>
          <w:shd w:val="clear" w:color="auto" w:fill="EFF2F7"/>
        </w:rPr>
        <w:t>)</w:t>
      </w:r>
    </w:p>
    <w:p w14:paraId="3BBBC151" w14:textId="219082B7" w:rsidR="004405D6" w:rsidRPr="00002789" w:rsidRDefault="00002789">
      <w:pPr>
        <w:rPr>
          <w:color w:val="2A2A2A"/>
          <w:sz w:val="27"/>
          <w:szCs w:val="27"/>
          <w:shd w:val="clear" w:color="auto" w:fill="FFFFFF"/>
        </w:rPr>
      </w:pPr>
      <w:proofErr w:type="spellStart"/>
      <w:r w:rsidRPr="00002789">
        <w:rPr>
          <w:color w:val="2A2A2A"/>
          <w:sz w:val="27"/>
          <w:szCs w:val="27"/>
          <w:shd w:val="clear" w:color="auto" w:fill="FFFFFF"/>
        </w:rPr>
        <w:t>MITObim</w:t>
      </w:r>
      <w:proofErr w:type="spellEnd"/>
      <w:r w:rsidRPr="00002789">
        <w:rPr>
          <w:color w:val="2A2A2A"/>
          <w:sz w:val="27"/>
          <w:szCs w:val="27"/>
          <w:shd w:val="clear" w:color="auto" w:fill="FFFFFF"/>
        </w:rPr>
        <w:t xml:space="preserve"> </w:t>
      </w:r>
      <w:proofErr w:type="gramStart"/>
      <w:r w:rsidRPr="00002789">
        <w:rPr>
          <w:color w:val="2A2A2A"/>
          <w:sz w:val="27"/>
          <w:szCs w:val="27"/>
          <w:shd w:val="clear" w:color="auto" w:fill="FFFFFF"/>
        </w:rPr>
        <w:t>is capable of assembling</w:t>
      </w:r>
      <w:proofErr w:type="gramEnd"/>
      <w:r w:rsidRPr="00002789">
        <w:rPr>
          <w:color w:val="2A2A2A"/>
          <w:sz w:val="27"/>
          <w:szCs w:val="27"/>
          <w:shd w:val="clear" w:color="auto" w:fill="FFFFFF"/>
        </w:rPr>
        <w:t xml:space="preserve"> mitochondrial genomes without the need of a reference genome of the targeted species by relying solely on mitochondrial genome information of more distantly related taxa as a starting point.</w:t>
      </w:r>
    </w:p>
    <w:p w14:paraId="3FF363D9" w14:textId="25D0CCB9" w:rsidR="00002789" w:rsidRDefault="00002789">
      <w:pPr>
        <w:rPr>
          <w:color w:val="2A2A2A"/>
          <w:sz w:val="27"/>
          <w:szCs w:val="27"/>
          <w:shd w:val="clear" w:color="auto" w:fill="FFFFFF"/>
        </w:rPr>
      </w:pP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 relatively small sequences as a seed, such as a single gene sequence from the target mitogenome or from a more distantly related organism. </w:t>
      </w: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uses </w:t>
      </w:r>
      <w:r w:rsidRPr="00002789">
        <w:rPr>
          <w:color w:val="2A2A2A"/>
          <w:sz w:val="27"/>
          <w:szCs w:val="27"/>
          <w:shd w:val="clear" w:color="auto" w:fill="FFFFFF"/>
        </w:rPr>
        <w:t>cytochrome-oxidase subunit 1 (COI) sequences</w:t>
      </w:r>
      <w:r>
        <w:rPr>
          <w:color w:val="2A2A2A"/>
          <w:sz w:val="27"/>
          <w:szCs w:val="27"/>
          <w:shd w:val="clear" w:color="auto" w:fill="FFFFFF"/>
        </w:rPr>
        <w:t xml:space="preserve"> as the seed references.</w:t>
      </w:r>
    </w:p>
    <w:p w14:paraId="564A944C" w14:textId="4FFC3652" w:rsidR="00002789" w:rsidRDefault="00C45D8E">
      <w:pPr>
        <w:rPr>
          <w:b/>
          <w:bCs/>
          <w:color w:val="2A2A2A"/>
          <w:sz w:val="31"/>
          <w:szCs w:val="31"/>
          <w:shd w:val="clear" w:color="auto" w:fill="FFFFFF"/>
        </w:rPr>
      </w:pPr>
      <w:r>
        <w:rPr>
          <w:b/>
          <w:bCs/>
          <w:color w:val="2A2A2A"/>
          <w:sz w:val="31"/>
          <w:szCs w:val="31"/>
          <w:shd w:val="clear" w:color="auto" w:fill="FFFFFF"/>
        </w:rPr>
        <w:t>STEPS:</w:t>
      </w:r>
    </w:p>
    <w:p w14:paraId="60161865" w14:textId="081518D5"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 xml:space="preserve">Pre-Processing: NGS reads (read length 100 bp) were error corrected using the error correction tool (personal communication </w:t>
      </w:r>
      <w:proofErr w:type="spellStart"/>
      <w:r w:rsidRPr="00A4596C">
        <w:rPr>
          <w:color w:val="2A2A2A"/>
          <w:sz w:val="27"/>
          <w:szCs w:val="27"/>
          <w:shd w:val="clear" w:color="auto" w:fill="FFFFFF"/>
        </w:rPr>
        <w:t>Ruibang</w:t>
      </w:r>
      <w:proofErr w:type="spellEnd"/>
      <w:r w:rsidRPr="00A4596C">
        <w:rPr>
          <w:color w:val="2A2A2A"/>
          <w:sz w:val="27"/>
          <w:szCs w:val="27"/>
          <w:shd w:val="clear" w:color="auto" w:fill="FFFFFF"/>
        </w:rPr>
        <w:t xml:space="preserve"> Luo, BGI) of the SOAPdenovo2 software and quality trimmed using Mimicking Intelligent Read Assembly (MIRA) v3.4.1.1 for subsequent analyses.</w:t>
      </w:r>
    </w:p>
    <w:p w14:paraId="54E2CDC4" w14:textId="794670FA"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step one identifies conserved regions between genomic reads of the target organism to the mitochondrial genome of a reference species by a mapping assembly from which a new reference is derived. This new reference may initially be gapped or consist of several </w:t>
      </w:r>
      <w:r w:rsidRPr="00A4596C">
        <w:rPr>
          <w:rStyle w:val="Emphasis"/>
          <w:color w:val="2A2A2A"/>
          <w:sz w:val="27"/>
          <w:szCs w:val="27"/>
          <w:bdr w:val="none" w:sz="0" w:space="0" w:color="auto" w:frame="1"/>
          <w:shd w:val="clear" w:color="auto" w:fill="FFFFFF"/>
        </w:rPr>
        <w:t>contigs</w:t>
      </w:r>
      <w:r w:rsidRPr="00A4596C">
        <w:rPr>
          <w:color w:val="2A2A2A"/>
          <w:sz w:val="27"/>
          <w:szCs w:val="27"/>
          <w:shd w:val="clear" w:color="auto" w:fill="FFFFFF"/>
        </w:rPr>
        <w:t>, as non-conserved parts of the target organism will not have mapped to the mitochondrial genome of the reference species.</w:t>
      </w:r>
    </w:p>
    <w:p w14:paraId="0F0B28E0" w14:textId="3B964193" w:rsidR="00A4596C" w:rsidRPr="00E36BF8" w:rsidRDefault="00A4596C" w:rsidP="00E36BF8">
      <w:pPr>
        <w:pStyle w:val="ListParagraph"/>
        <w:numPr>
          <w:ilvl w:val="0"/>
          <w:numId w:val="2"/>
        </w:numPr>
        <w:rPr>
          <w:sz w:val="31"/>
          <w:szCs w:val="31"/>
        </w:rPr>
      </w:pPr>
      <w:r w:rsidRPr="00A4596C">
        <w:rPr>
          <w:color w:val="2A2A2A"/>
          <w:sz w:val="27"/>
          <w:szCs w:val="27"/>
          <w:shd w:val="clear" w:color="auto" w:fill="FFFFFF"/>
        </w:rPr>
        <w:t xml:space="preserve">Step two of </w:t>
      </w:r>
      <w:proofErr w:type="spellStart"/>
      <w:r w:rsidRPr="00A4596C">
        <w:rPr>
          <w:color w:val="2A2A2A"/>
          <w:sz w:val="27"/>
          <w:szCs w:val="27"/>
          <w:shd w:val="clear" w:color="auto" w:fill="FFFFFF"/>
        </w:rPr>
        <w:t>MITObim</w:t>
      </w:r>
      <w:proofErr w:type="spellEnd"/>
      <w:r w:rsidRPr="00A4596C">
        <w:rPr>
          <w:color w:val="2A2A2A"/>
          <w:sz w:val="27"/>
          <w:szCs w:val="27"/>
          <w:shd w:val="clear" w:color="auto" w:fill="FFFFFF"/>
        </w:rPr>
        <w:t xml:space="preserve"> is an </w:t>
      </w:r>
      <w:r w:rsidRPr="00A4596C">
        <w:rPr>
          <w:rStyle w:val="Emphasis"/>
          <w:color w:val="2A2A2A"/>
          <w:sz w:val="27"/>
          <w:szCs w:val="27"/>
          <w:bdr w:val="none" w:sz="0" w:space="0" w:color="auto" w:frame="1"/>
          <w:shd w:val="clear" w:color="auto" w:fill="FFFFFF"/>
        </w:rPr>
        <w:t>in silico</w:t>
      </w:r>
      <w:r w:rsidRPr="00A4596C">
        <w:rPr>
          <w:color w:val="2A2A2A"/>
          <w:sz w:val="27"/>
          <w:szCs w:val="27"/>
          <w:shd w:val="clear" w:color="auto" w:fill="FFFFFF"/>
        </w:rPr>
        <w:t xml:space="preserve">-baiting step: using the newly created reference sequence as bait, all reads from the total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which are partly or fully overlapping with the bait (minimum overlap is n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of length k) are retrieved and integrated into a new data set. This baiting step with relatively long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(k = 31) is crucial for the specificity of the whole process as the </w:t>
      </w:r>
      <w:r w:rsidRPr="00A4596C">
        <w:rPr>
          <w:color w:val="2A2A2A"/>
          <w:sz w:val="27"/>
          <w:szCs w:val="27"/>
          <w:shd w:val="clear" w:color="auto" w:fill="FFFFFF"/>
        </w:rPr>
        <w:lastRenderedPageBreak/>
        <w:t>subsequent mapping assembly is performed with comparatively low stringency, i.e. allowing mismatches in up to 15% of the bases of the total length of a Smith–Waterman alignment overlap. </w:t>
      </w:r>
    </w:p>
    <w:p w14:paraId="7D2ECA34" w14:textId="2845E0DB" w:rsidR="00A4596C" w:rsidRPr="00A4596C" w:rsidRDefault="00A4596C" w:rsidP="00C45D8E">
      <w:pPr>
        <w:pStyle w:val="ListParagraph"/>
        <w:numPr>
          <w:ilvl w:val="0"/>
          <w:numId w:val="2"/>
        </w:numPr>
        <w:rPr>
          <w:sz w:val="31"/>
          <w:szCs w:val="31"/>
        </w:rPr>
      </w:pPr>
      <w:r w:rsidRPr="00A4596C">
        <w:rPr>
          <w:color w:val="2A2A2A"/>
          <w:sz w:val="27"/>
          <w:szCs w:val="27"/>
          <w:shd w:val="clear" w:color="auto" w:fill="FFFFFF"/>
        </w:rPr>
        <w:t>In the third step, the reads identified in the previous step are mapped back to the gapped reference sequence using MIRA v3.4.1.1. This will lead to an extension of the reference sequence and a reduction of gaps. To be incorporated as an extension into a mapping assembly, a read requires an overlap of at least 30 bases at the edge of a reference.</w:t>
      </w:r>
    </w:p>
    <w:p w14:paraId="1BCFECAE" w14:textId="31B1E67A" w:rsidR="00A4596C" w:rsidRPr="00A4596C" w:rsidRDefault="00A4596C" w:rsidP="00A4596C">
      <w:pPr>
        <w:pStyle w:val="ListParagraph"/>
        <w:rPr>
          <w:sz w:val="31"/>
          <w:szCs w:val="31"/>
        </w:rPr>
      </w:pPr>
    </w:p>
    <w:p w14:paraId="10E39CAE" w14:textId="432C3489" w:rsidR="00A4596C" w:rsidRDefault="00A4596C" w:rsidP="00A4596C">
      <w:pPr>
        <w:pStyle w:val="ListParagraph"/>
        <w:rPr>
          <w:sz w:val="27"/>
          <w:szCs w:val="27"/>
        </w:rPr>
      </w:pPr>
      <w:r>
        <w:rPr>
          <w:noProof/>
          <w:sz w:val="27"/>
          <w:szCs w:val="27"/>
        </w:rPr>
        <w:drawing>
          <wp:inline distT="0" distB="0" distL="0" distR="0" wp14:anchorId="50893FAE" wp14:editId="34051CBC">
            <wp:extent cx="4986020" cy="49909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8727" cy="5013639"/>
                    </a:xfrm>
                    <a:prstGeom prst="rect">
                      <a:avLst/>
                    </a:prstGeom>
                  </pic:spPr>
                </pic:pic>
              </a:graphicData>
            </a:graphic>
          </wp:inline>
        </w:drawing>
      </w:r>
    </w:p>
    <w:p w14:paraId="11E83640" w14:textId="05AA706B" w:rsidR="00A4596C" w:rsidRDefault="00A4596C" w:rsidP="00A4596C">
      <w:pPr>
        <w:pStyle w:val="ListParagraph"/>
        <w:rPr>
          <w:sz w:val="27"/>
          <w:szCs w:val="27"/>
        </w:rPr>
      </w:pPr>
    </w:p>
    <w:p w14:paraId="594EEB81" w14:textId="77777777" w:rsidR="00E36BF8" w:rsidRDefault="00E36BF8" w:rsidP="00A4596C">
      <w:pPr>
        <w:rPr>
          <w:sz w:val="27"/>
          <w:szCs w:val="27"/>
        </w:rPr>
      </w:pPr>
    </w:p>
    <w:p w14:paraId="76A7629A" w14:textId="0E5E78DA" w:rsidR="00A4596C" w:rsidRPr="00A4596C" w:rsidRDefault="00A4596C" w:rsidP="00A4596C">
      <w:pPr>
        <w:rPr>
          <w:sz w:val="27"/>
          <w:szCs w:val="27"/>
        </w:rPr>
      </w:pPr>
      <w:r w:rsidRPr="00E36BF8">
        <w:rPr>
          <w:b/>
          <w:bCs/>
          <w:sz w:val="31"/>
          <w:szCs w:val="31"/>
        </w:rPr>
        <w:lastRenderedPageBreak/>
        <w:t>Note</w:t>
      </w:r>
      <w:r w:rsidRPr="00A4596C">
        <w:rPr>
          <w:sz w:val="27"/>
          <w:szCs w:val="27"/>
        </w:rPr>
        <w:t>:</w:t>
      </w:r>
      <w:r>
        <w:rPr>
          <w:sz w:val="27"/>
          <w:szCs w:val="27"/>
        </w:rPr>
        <w:t xml:space="preserve"> </w:t>
      </w:r>
      <w:r w:rsidRPr="00A4596C">
        <w:rPr>
          <w:color w:val="2A2A2A"/>
          <w:sz w:val="27"/>
          <w:szCs w:val="27"/>
          <w:shd w:val="clear" w:color="auto" w:fill="FFFFFF"/>
        </w:rPr>
        <w:t xml:space="preserve">The initial mapping assembly in step one may have increased memory requirements, as it is dealing with the entire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This increased memory consumption can be bypassed by an initial fishing step (-quick option) reducing the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to only reads with a certain k-</w:t>
      </w:r>
      <w:proofErr w:type="spellStart"/>
      <w:r w:rsidRPr="00A4596C">
        <w:rPr>
          <w:color w:val="2A2A2A"/>
          <w:sz w:val="27"/>
          <w:szCs w:val="27"/>
          <w:shd w:val="clear" w:color="auto" w:fill="FFFFFF"/>
        </w:rPr>
        <w:t>mer</w:t>
      </w:r>
      <w:proofErr w:type="spellEnd"/>
      <w:r w:rsidRPr="00A4596C">
        <w:rPr>
          <w:color w:val="2A2A2A"/>
          <w:sz w:val="27"/>
          <w:szCs w:val="27"/>
          <w:shd w:val="clear" w:color="auto" w:fill="FFFFFF"/>
        </w:rPr>
        <w:t xml:space="preserve"> overlap to the reference already before the initial assembly. This approach initially slightly decreases specificity, but nevertheless performs well with not too distantly related references available and can be performed as a standard primary test.</w:t>
      </w:r>
    </w:p>
    <w:p w14:paraId="100134A2" w14:textId="6CA1FB34" w:rsidR="00A4596C" w:rsidRDefault="00A4596C" w:rsidP="00C9001F">
      <w:pPr>
        <w:rPr>
          <w:b/>
          <w:bCs/>
          <w:sz w:val="32"/>
          <w:szCs w:val="32"/>
        </w:rPr>
      </w:pPr>
    </w:p>
    <w:p w14:paraId="1D2EF5C0" w14:textId="25176494" w:rsidR="00C9001F" w:rsidRDefault="00C9001F" w:rsidP="00C9001F">
      <w:pPr>
        <w:rPr>
          <w:b/>
          <w:bCs/>
          <w:sz w:val="32"/>
          <w:szCs w:val="32"/>
        </w:rPr>
      </w:pPr>
      <w:proofErr w:type="spellStart"/>
      <w:r>
        <w:rPr>
          <w:b/>
          <w:bCs/>
          <w:sz w:val="32"/>
          <w:szCs w:val="32"/>
        </w:rPr>
        <w:t>NOVOPlasty</w:t>
      </w:r>
      <w:proofErr w:type="spellEnd"/>
    </w:p>
    <w:p w14:paraId="0D7A4009" w14:textId="369251BD" w:rsidR="00C9001F" w:rsidRDefault="00C9001F" w:rsidP="007736CD">
      <w:pPr>
        <w:pStyle w:val="ListParagraph"/>
        <w:numPr>
          <w:ilvl w:val="0"/>
          <w:numId w:val="3"/>
        </w:numPr>
      </w:pPr>
      <w:proofErr w:type="spellStart"/>
      <w:r w:rsidRPr="00C9001F">
        <w:t>NOVOPlasty</w:t>
      </w:r>
      <w:proofErr w:type="spellEnd"/>
      <w:r w:rsidRPr="00C9001F">
        <w:t xml:space="preserve"> assembled all tested circular genomes in less than 30 min with a maximum memory requirement of 16 GB and an accuracy over 99.99%.  </w:t>
      </w:r>
      <w:proofErr w:type="spellStart"/>
      <w:r w:rsidRPr="00C9001F">
        <w:t>NOVOPlasty</w:t>
      </w:r>
      <w:proofErr w:type="spellEnd"/>
      <w:r w:rsidRPr="00C9001F">
        <w:t xml:space="preserve"> is the sole de novo assembler that provides a fast and straightforward extraction of the extranuclear genomes from WGS data in one circular high quality contig.</w:t>
      </w:r>
    </w:p>
    <w:p w14:paraId="26568F50" w14:textId="77777777" w:rsidR="007736CD" w:rsidRDefault="007736CD" w:rsidP="007736CD">
      <w:pPr>
        <w:pStyle w:val="ListParagraph"/>
        <w:ind w:left="360"/>
      </w:pPr>
    </w:p>
    <w:p w14:paraId="5AF3004D" w14:textId="61C4A6C2" w:rsidR="00C9001F" w:rsidRDefault="00C9001F" w:rsidP="007736CD">
      <w:pPr>
        <w:pStyle w:val="ListParagraph"/>
        <w:numPr>
          <w:ilvl w:val="0"/>
          <w:numId w:val="3"/>
        </w:numPr>
      </w:pPr>
      <w:proofErr w:type="spellStart"/>
      <w:r>
        <w:t>NOVOPlasty</w:t>
      </w:r>
      <w:proofErr w:type="spellEnd"/>
      <w:r>
        <w:t xml:space="preserve"> is written in Perl</w:t>
      </w:r>
      <w:r w:rsidR="0016089E">
        <w:t>.</w:t>
      </w:r>
    </w:p>
    <w:p w14:paraId="01BF9F87" w14:textId="77777777" w:rsidR="007736CD" w:rsidRDefault="007736CD" w:rsidP="007736CD">
      <w:pPr>
        <w:pStyle w:val="ListParagraph"/>
      </w:pPr>
    </w:p>
    <w:p w14:paraId="503E513E" w14:textId="77777777" w:rsidR="007736CD" w:rsidRDefault="007736CD" w:rsidP="007736CD">
      <w:pPr>
        <w:pStyle w:val="ListParagraph"/>
        <w:ind w:left="360"/>
      </w:pPr>
    </w:p>
    <w:p w14:paraId="0D77BDC9" w14:textId="77777777"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genome coverage represents the percentage of the reference genome that was assembled minus ambiguous nucleotides.</w:t>
      </w:r>
    </w:p>
    <w:p w14:paraId="73998844" w14:textId="71CAD5C4" w:rsidR="007736CD" w:rsidRPr="007736CD" w:rsidRDefault="007736CD" w:rsidP="007736CD">
      <w:pPr>
        <w:pStyle w:val="ListParagraph"/>
        <w:ind w:left="360"/>
        <w:rPr>
          <w:color w:val="2A2A2A"/>
          <w:sz w:val="23"/>
          <w:szCs w:val="23"/>
          <w:shd w:val="clear" w:color="auto" w:fill="FFFFFF"/>
        </w:rPr>
      </w:pPr>
      <w:r w:rsidRPr="007736CD">
        <w:rPr>
          <w:color w:val="2A2A2A"/>
          <w:sz w:val="23"/>
          <w:szCs w:val="23"/>
          <w:shd w:val="clear" w:color="auto" w:fill="FFFFFF"/>
        </w:rPr>
        <w:t xml:space="preserve"> </w:t>
      </w:r>
    </w:p>
    <w:p w14:paraId="53DEEC5B" w14:textId="3006B444"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accuracy represents the percentage of correctly assembled nucleotides relative to the ‘perfect’ validated alignments.</w:t>
      </w:r>
    </w:p>
    <w:p w14:paraId="0C3E6B40" w14:textId="77777777" w:rsidR="007736CD" w:rsidRPr="007736CD" w:rsidRDefault="007736CD" w:rsidP="007736CD">
      <w:pPr>
        <w:rPr>
          <w:color w:val="2A2A2A"/>
          <w:sz w:val="23"/>
          <w:szCs w:val="23"/>
          <w:shd w:val="clear" w:color="auto" w:fill="FFFFFF"/>
        </w:rPr>
      </w:pPr>
    </w:p>
    <w:p w14:paraId="74D5DA4F" w14:textId="58A0688A" w:rsidR="007736CD" w:rsidRDefault="007736CD" w:rsidP="007736CD">
      <w:pPr>
        <w:pStyle w:val="ListParagraph"/>
        <w:numPr>
          <w:ilvl w:val="0"/>
          <w:numId w:val="3"/>
        </w:numPr>
        <w:rPr>
          <w:color w:val="2A2A2A"/>
          <w:sz w:val="23"/>
          <w:szCs w:val="23"/>
          <w:shd w:val="clear" w:color="auto" w:fill="FFFFFF"/>
        </w:r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is a seed-extend based assembler. The assembly must be initiated by a seed, which is iteratively extended bidirectionally. This seed sequence is not used for initiating the assembly, but to retrieve one sequence read of the targeted genome from the NGS data set. This strategy can handle a wider range of seed inputs without incorporating mismatches into the assembly.</w:t>
      </w:r>
    </w:p>
    <w:p w14:paraId="1CD7549F" w14:textId="77777777" w:rsidR="007736CD" w:rsidRDefault="007736CD" w:rsidP="007736CD">
      <w:pPr>
        <w:pStyle w:val="ListParagraph"/>
        <w:ind w:left="360"/>
        <w:rPr>
          <w:color w:val="2A2A2A"/>
          <w:sz w:val="23"/>
          <w:szCs w:val="23"/>
          <w:shd w:val="clear" w:color="auto" w:fill="FFFFFF"/>
        </w:rPr>
      </w:pPr>
    </w:p>
    <w:p w14:paraId="2A839B36" w14:textId="0BD60D1D"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seed sequence can be one sequence read, a conserved gene or even a complete organelle genome from a distant species.</w:t>
      </w:r>
    </w:p>
    <w:p w14:paraId="7F92C008" w14:textId="77777777" w:rsidR="007736CD" w:rsidRPr="007736CD" w:rsidRDefault="007736CD" w:rsidP="007736CD">
      <w:pPr>
        <w:pStyle w:val="ListParagraph"/>
        <w:rPr>
          <w:color w:val="2A2A2A"/>
          <w:sz w:val="23"/>
          <w:szCs w:val="23"/>
          <w:shd w:val="clear" w:color="auto" w:fill="FFFFFF"/>
        </w:rPr>
      </w:pPr>
    </w:p>
    <w:p w14:paraId="2DC1D19A" w14:textId="77777777" w:rsidR="007736CD" w:rsidRPr="007736CD" w:rsidRDefault="007736CD" w:rsidP="007736CD">
      <w:pPr>
        <w:pStyle w:val="ListParagraph"/>
        <w:ind w:left="360"/>
        <w:rPr>
          <w:color w:val="2A2A2A"/>
          <w:sz w:val="23"/>
          <w:szCs w:val="23"/>
          <w:shd w:val="clear" w:color="auto" w:fill="FFFFFF"/>
        </w:rPr>
      </w:pPr>
    </w:p>
    <w:p w14:paraId="31F57B2C" w14:textId="79DF23DE" w:rsidR="007736CD" w:rsidRPr="007736CD" w:rsidRDefault="007736CD" w:rsidP="007736CD">
      <w:pPr>
        <w:pStyle w:val="ListParagraph"/>
        <w:numPr>
          <w:ilvl w:val="0"/>
          <w:numId w:val="3"/>
        </w:num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starts with storing the sequences into a hash table, which allows quick accessibility of the reads.</w:t>
      </w:r>
      <w:r>
        <w:rPr>
          <w:color w:val="2A2A2A"/>
          <w:sz w:val="23"/>
          <w:szCs w:val="23"/>
          <w:shd w:val="clear" w:color="auto" w:fill="FFFFFF"/>
        </w:rPr>
        <w:t xml:space="preserve"> </w:t>
      </w:r>
    </w:p>
    <w:p w14:paraId="006FE4C7" w14:textId="7A306476" w:rsidR="007736CD" w:rsidRPr="00D92ED8" w:rsidRDefault="00D92ED8" w:rsidP="007736CD">
      <w:pPr>
        <w:pStyle w:val="ListParagraph"/>
        <w:numPr>
          <w:ilvl w:val="0"/>
          <w:numId w:val="3"/>
        </w:numPr>
      </w:pPr>
      <w:r>
        <w:rPr>
          <w:color w:val="2A2A2A"/>
          <w:sz w:val="23"/>
          <w:szCs w:val="23"/>
          <w:shd w:val="clear" w:color="auto" w:fill="FFFFFF"/>
        </w:rPr>
        <w:lastRenderedPageBreak/>
        <w:t>The end and start of the seed are scanned for overlapping reads in the hash table and stored separately.</w:t>
      </w:r>
    </w:p>
    <w:p w14:paraId="2D8AE9D2" w14:textId="77777777" w:rsidR="00D92ED8" w:rsidRPr="00D92ED8" w:rsidRDefault="00D92ED8" w:rsidP="00D92ED8">
      <w:pPr>
        <w:pStyle w:val="ListParagraph"/>
        <w:ind w:left="360"/>
      </w:pPr>
    </w:p>
    <w:p w14:paraId="7B35FF2F" w14:textId="4538E6F2" w:rsidR="00D92ED8" w:rsidRPr="00D92ED8" w:rsidRDefault="00D92ED8" w:rsidP="007736CD">
      <w:pPr>
        <w:pStyle w:val="ListParagraph"/>
        <w:numPr>
          <w:ilvl w:val="0"/>
          <w:numId w:val="3"/>
        </w:numPr>
      </w:pPr>
      <w:r>
        <w:rPr>
          <w:color w:val="2A2A2A"/>
          <w:sz w:val="23"/>
          <w:szCs w:val="23"/>
          <w:shd w:val="clear" w:color="auto" w:fill="FFFFFF"/>
        </w:rPr>
        <w:t>All putative extensions are identified and subsequently cross-checked with the paired reads to verify if they are positioned correctly.</w:t>
      </w:r>
    </w:p>
    <w:p w14:paraId="39379A67" w14:textId="77777777" w:rsidR="00D92ED8" w:rsidRDefault="00D92ED8" w:rsidP="00D92ED8">
      <w:pPr>
        <w:pStyle w:val="ListParagraph"/>
      </w:pPr>
    </w:p>
    <w:p w14:paraId="63010C12" w14:textId="77777777" w:rsidR="00D92ED8" w:rsidRPr="00D92ED8" w:rsidRDefault="00D92ED8" w:rsidP="007736CD">
      <w:pPr>
        <w:pStyle w:val="ListParagraph"/>
        <w:numPr>
          <w:ilvl w:val="0"/>
          <w:numId w:val="3"/>
        </w:numPr>
      </w:pPr>
      <w:r>
        <w:rPr>
          <w:color w:val="2A2A2A"/>
          <w:sz w:val="23"/>
          <w:szCs w:val="23"/>
          <w:shd w:val="clear" w:color="auto" w:fill="FFFFFF"/>
        </w:rPr>
        <w:t>Relatively similar sequences are grouped together, and every base extension is resolved by a consensus between the overlapping reads. When there is more than one possible consensus extension (i.e. more than one group of sufficient size), the assembly splits and two new contigs will be created.</w:t>
      </w:r>
    </w:p>
    <w:p w14:paraId="3A3907B3" w14:textId="77777777" w:rsidR="00D92ED8" w:rsidRPr="00D92ED8" w:rsidRDefault="00D92ED8" w:rsidP="00D92ED8">
      <w:pPr>
        <w:pStyle w:val="ListParagraph"/>
        <w:rPr>
          <w:color w:val="2A2A2A"/>
          <w:sz w:val="23"/>
          <w:szCs w:val="23"/>
          <w:shd w:val="clear" w:color="auto" w:fill="FFFFFF"/>
        </w:rPr>
      </w:pPr>
    </w:p>
    <w:p w14:paraId="33009A98" w14:textId="604EF8EB" w:rsidR="00D92ED8" w:rsidRPr="00D92ED8" w:rsidRDefault="00D92ED8" w:rsidP="007736CD">
      <w:pPr>
        <w:pStyle w:val="ListParagraph"/>
        <w:numPr>
          <w:ilvl w:val="0"/>
          <w:numId w:val="3"/>
        </w:numPr>
      </w:pPr>
      <w:r w:rsidRPr="00D92ED8">
        <w:rPr>
          <w:color w:val="2A2A2A"/>
          <w:sz w:val="23"/>
          <w:szCs w:val="23"/>
          <w:shd w:val="clear" w:color="auto" w:fill="FFFFFF"/>
        </w:rPr>
        <w:t xml:space="preserve"> </w:t>
      </w:r>
      <w:proofErr w:type="spellStart"/>
      <w:r>
        <w:rPr>
          <w:color w:val="2A2A2A"/>
          <w:sz w:val="23"/>
          <w:szCs w:val="23"/>
          <w:shd w:val="clear" w:color="auto" w:fill="FFFFFF"/>
        </w:rPr>
        <w:t>NOVOPlasty</w:t>
      </w:r>
      <w:proofErr w:type="spellEnd"/>
      <w:r>
        <w:rPr>
          <w:color w:val="2A2A2A"/>
          <w:sz w:val="23"/>
          <w:szCs w:val="23"/>
          <w:shd w:val="clear" w:color="auto" w:fill="FFFFFF"/>
        </w:rPr>
        <w:t xml:space="preserve"> does not try to assemble every read but will extend the given seed until the circular genome is formed. The assembly will circularize when the length is in the expected range and both ends overlap by at least 200 bp.</w:t>
      </w:r>
    </w:p>
    <w:p w14:paraId="1500E210" w14:textId="77777777" w:rsidR="00D92ED8" w:rsidRDefault="00D92ED8" w:rsidP="00D92ED8">
      <w:pPr>
        <w:pStyle w:val="ListParagraph"/>
      </w:pPr>
    </w:p>
    <w:p w14:paraId="50B042D6" w14:textId="4D736CC2" w:rsidR="00D92ED8" w:rsidRPr="00D92ED8" w:rsidRDefault="00D92ED8" w:rsidP="007736CD">
      <w:pPr>
        <w:pStyle w:val="ListParagraph"/>
        <w:numPr>
          <w:ilvl w:val="0"/>
          <w:numId w:val="3"/>
        </w:numPr>
      </w:pPr>
      <w:r>
        <w:rPr>
          <w:color w:val="2A2A2A"/>
          <w:sz w:val="23"/>
          <w:szCs w:val="23"/>
          <w:shd w:val="clear" w:color="auto" w:fill="FFFFFF"/>
        </w:rPr>
        <w:t>When a repetitive region is detected, the circularization will be postponed until the assembly exits the repetitive region.</w:t>
      </w:r>
    </w:p>
    <w:p w14:paraId="4C8C5F09" w14:textId="77777777" w:rsidR="00D92ED8" w:rsidRDefault="00D92ED8" w:rsidP="00D92ED8">
      <w:pPr>
        <w:pStyle w:val="ListParagraph"/>
      </w:pPr>
    </w:p>
    <w:p w14:paraId="60202731" w14:textId="6762A30F" w:rsidR="00D92ED8" w:rsidRDefault="00D92ED8" w:rsidP="00D92ED8">
      <w:r>
        <w:rPr>
          <w:noProof/>
        </w:rPr>
        <w:drawing>
          <wp:inline distT="0" distB="0" distL="0" distR="0" wp14:anchorId="1B350D1E" wp14:editId="429D579D">
            <wp:extent cx="5722620" cy="2421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153" cy="2449680"/>
                    </a:xfrm>
                    <a:prstGeom prst="rect">
                      <a:avLst/>
                    </a:prstGeom>
                    <a:noFill/>
                    <a:ln>
                      <a:noFill/>
                    </a:ln>
                  </pic:spPr>
                </pic:pic>
              </a:graphicData>
            </a:graphic>
          </wp:inline>
        </w:drawing>
      </w:r>
    </w:p>
    <w:p w14:paraId="4E165D7A" w14:textId="4B0CE1CB" w:rsidR="00B80E68" w:rsidRDefault="00B80E68" w:rsidP="00D92ED8"/>
    <w:p w14:paraId="483F05BB" w14:textId="3372F3A1" w:rsidR="00B80E68" w:rsidRPr="00C9001F" w:rsidRDefault="00B80E68" w:rsidP="00D92ED8">
      <w:r>
        <w:rPr>
          <w:noProof/>
        </w:rPr>
        <w:lastRenderedPageBreak/>
        <w:drawing>
          <wp:inline distT="0" distB="0" distL="0" distR="0" wp14:anchorId="39F31AA8" wp14:editId="27E2EEC5">
            <wp:extent cx="5547360" cy="465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088" cy="4664850"/>
                    </a:xfrm>
                    <a:prstGeom prst="rect">
                      <a:avLst/>
                    </a:prstGeom>
                    <a:noFill/>
                    <a:ln>
                      <a:noFill/>
                    </a:ln>
                  </pic:spPr>
                </pic:pic>
              </a:graphicData>
            </a:graphic>
          </wp:inline>
        </w:drawing>
      </w:r>
    </w:p>
    <w:p w14:paraId="7D5623A2" w14:textId="57F3667D" w:rsidR="00C9001F" w:rsidRDefault="00B80E68" w:rsidP="00B80E68">
      <w:pPr>
        <w:rPr>
          <w:shd w:val="clear" w:color="auto" w:fill="FFFFFF"/>
        </w:rPr>
      </w:pPr>
      <w:r w:rsidRPr="00B80E68">
        <w:rPr>
          <w:b/>
          <w:bCs/>
          <w:shd w:val="clear" w:color="auto" w:fill="FFFFFF"/>
        </w:rPr>
        <w:t>Seed compatibility test for the </w:t>
      </w:r>
      <w:r w:rsidRPr="00B80E68">
        <w:rPr>
          <w:rStyle w:val="Emphasis"/>
          <w:rFonts w:ascii="Source Sans Pro" w:hAnsi="Source Sans Pro"/>
          <w:b/>
          <w:bCs/>
          <w:color w:val="2A2A2A"/>
          <w:sz w:val="23"/>
          <w:szCs w:val="23"/>
          <w:bdr w:val="none" w:sz="0" w:space="0" w:color="auto" w:frame="1"/>
          <w:shd w:val="clear" w:color="auto" w:fill="FFFFFF"/>
        </w:rPr>
        <w:t>de novo</w:t>
      </w:r>
      <w:r w:rsidRPr="00B80E68">
        <w:rPr>
          <w:b/>
          <w:bCs/>
          <w:shd w:val="clear" w:color="auto" w:fill="FFFFFF"/>
        </w:rPr>
        <w:t> assembly of the human mitochondria with 12 different mitochondrial genomes as seed sequence. A green dot means that the mitochondrial genome of that species can be used as a seed for the mitochondrial assembly of </w:t>
      </w:r>
      <w:r w:rsidRPr="00B80E68">
        <w:rPr>
          <w:rStyle w:val="Emphasis"/>
          <w:rFonts w:ascii="Source Sans Pro" w:hAnsi="Source Sans Pro"/>
          <w:b/>
          <w:bCs/>
          <w:color w:val="2A2A2A"/>
          <w:sz w:val="23"/>
          <w:szCs w:val="23"/>
          <w:bdr w:val="none" w:sz="0" w:space="0" w:color="auto" w:frame="1"/>
          <w:shd w:val="clear" w:color="auto" w:fill="FFFFFF"/>
        </w:rPr>
        <w:t>H. sapiens</w:t>
      </w:r>
      <w:r w:rsidRPr="00B80E68">
        <w:rPr>
          <w:b/>
          <w:bCs/>
          <w:shd w:val="clear" w:color="auto" w:fill="FFFFFF"/>
        </w:rPr>
        <w:t>. Red X means unsuccessful</w:t>
      </w:r>
      <w:r w:rsidRPr="00B80E68">
        <w:rPr>
          <w:shd w:val="clear" w:color="auto" w:fill="FFFFFF"/>
        </w:rPr>
        <w:t>.</w:t>
      </w:r>
    </w:p>
    <w:p w14:paraId="2FAFBA07" w14:textId="77777777" w:rsidR="00444638" w:rsidRDefault="00444638" w:rsidP="00B80E68">
      <w:pPr>
        <w:rPr>
          <w:shd w:val="clear" w:color="auto" w:fill="FFFFFF"/>
        </w:rPr>
      </w:pPr>
    </w:p>
    <w:sectPr w:rsidR="004446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EFA49" w14:textId="77777777" w:rsidR="002F326B" w:rsidRDefault="002F326B" w:rsidP="00C02CA6">
      <w:pPr>
        <w:spacing w:after="0" w:line="240" w:lineRule="auto"/>
      </w:pPr>
      <w:r>
        <w:separator/>
      </w:r>
    </w:p>
  </w:endnote>
  <w:endnote w:type="continuationSeparator" w:id="0">
    <w:p w14:paraId="2C3292CB" w14:textId="77777777" w:rsidR="002F326B" w:rsidRDefault="002F326B"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6640F" w14:textId="77777777" w:rsidR="002F326B" w:rsidRDefault="002F326B" w:rsidP="00C02CA6">
      <w:pPr>
        <w:spacing w:after="0" w:line="240" w:lineRule="auto"/>
      </w:pPr>
      <w:r>
        <w:separator/>
      </w:r>
    </w:p>
  </w:footnote>
  <w:footnote w:type="continuationSeparator" w:id="0">
    <w:p w14:paraId="75AEF9CB" w14:textId="77777777" w:rsidR="002F326B" w:rsidRDefault="002F326B"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C00E0"/>
    <w:multiLevelType w:val="hybridMultilevel"/>
    <w:tmpl w:val="A5D0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38B2"/>
    <w:multiLevelType w:val="hybridMultilevel"/>
    <w:tmpl w:val="705A9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002789"/>
    <w:rsid w:val="00020F83"/>
    <w:rsid w:val="0016089E"/>
    <w:rsid w:val="001978E5"/>
    <w:rsid w:val="002F326B"/>
    <w:rsid w:val="00352473"/>
    <w:rsid w:val="00361627"/>
    <w:rsid w:val="004405D6"/>
    <w:rsid w:val="00444638"/>
    <w:rsid w:val="005416BC"/>
    <w:rsid w:val="0058261B"/>
    <w:rsid w:val="00602CCA"/>
    <w:rsid w:val="007736CD"/>
    <w:rsid w:val="009C101B"/>
    <w:rsid w:val="00A4596C"/>
    <w:rsid w:val="00B80E68"/>
    <w:rsid w:val="00C02CA6"/>
    <w:rsid w:val="00C45D8E"/>
    <w:rsid w:val="00C9001F"/>
    <w:rsid w:val="00D15E86"/>
    <w:rsid w:val="00D92ED8"/>
    <w:rsid w:val="00E04240"/>
    <w:rsid w:val="00E36BF8"/>
    <w:rsid w:val="00EA223D"/>
    <w:rsid w:val="00F47DA4"/>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 w:type="character" w:styleId="Emphasis">
    <w:name w:val="Emphasis"/>
    <w:basedOn w:val="DefaultParagraphFont"/>
    <w:uiPriority w:val="20"/>
    <w:qFormat/>
    <w:rsid w:val="00C45D8E"/>
    <w:rPr>
      <w:i/>
      <w:iCs/>
    </w:rPr>
  </w:style>
  <w:style w:type="character" w:styleId="UnresolvedMention">
    <w:name w:val="Unresolved Mention"/>
    <w:basedOn w:val="DefaultParagraphFont"/>
    <w:uiPriority w:val="99"/>
    <w:semiHidden/>
    <w:unhideWhenUsed/>
    <w:rsid w:val="00A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8</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9</cp:revision>
  <dcterms:created xsi:type="dcterms:W3CDTF">2020-11-21T16:27:00Z</dcterms:created>
  <dcterms:modified xsi:type="dcterms:W3CDTF">2020-11-22T17:27:00Z</dcterms:modified>
</cp:coreProperties>
</file>