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1AB9" w14:textId="79794736"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w:t>
      </w:r>
      <w:proofErr w:type="gramStart"/>
      <w:r w:rsidR="00FE1F14">
        <w:rPr>
          <w:rFonts w:ascii="Segoe UI" w:hAnsi="Segoe UI" w:cs="Segoe UI"/>
          <w:color w:val="333333"/>
          <w:sz w:val="27"/>
          <w:szCs w:val="27"/>
          <w:shd w:val="clear" w:color="auto" w:fill="FFFFFF"/>
        </w:rPr>
        <w:t>cut</w:t>
      </w:r>
      <w:proofErr w:type="gramEnd"/>
      <w:r w:rsidR="00FE1F14">
        <w:rPr>
          <w:rFonts w:ascii="Segoe UI" w:hAnsi="Segoe UI" w:cs="Segoe UI"/>
          <w:color w:val="333333"/>
          <w:sz w:val="27"/>
          <w:szCs w:val="27"/>
          <w:shd w:val="clear" w:color="auto" w:fill="FFFFFF"/>
        </w:rPr>
        <w:t xml:space="preserve">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54154688" w14:textId="452E05F9" w:rsidR="004405D6" w:rsidRDefault="004405D6"/>
    <w:p w14:paraId="11A80A82" w14:textId="7AC6E7E9" w:rsidR="004405D6" w:rsidRDefault="004405D6">
      <w:pPr>
        <w:rPr>
          <w:color w:val="2A2A2A"/>
          <w:sz w:val="33"/>
          <w:szCs w:val="33"/>
          <w:shd w:val="clear" w:color="auto" w:fill="EFF2F7"/>
        </w:rPr>
      </w:pPr>
      <w:proofErr w:type="spellStart"/>
      <w:r>
        <w:rPr>
          <w:b/>
          <w:bCs/>
          <w:sz w:val="50"/>
          <w:szCs w:val="50"/>
        </w:rPr>
        <w:t>MITObim</w:t>
      </w:r>
      <w:proofErr w:type="spellEnd"/>
      <w:r>
        <w:rPr>
          <w:b/>
          <w:bCs/>
          <w:sz w:val="50"/>
          <w:szCs w:val="50"/>
        </w:rPr>
        <w:t xml:space="preserve"> (</w:t>
      </w:r>
      <w:proofErr w:type="spellStart"/>
      <w:r>
        <w:rPr>
          <w:color w:val="2A2A2A"/>
          <w:sz w:val="33"/>
          <w:szCs w:val="33"/>
          <w:shd w:val="clear" w:color="auto" w:fill="EFF2F7"/>
        </w:rPr>
        <w:t>MITO</w:t>
      </w:r>
      <w:r w:rsidRPr="004405D6">
        <w:rPr>
          <w:color w:val="2A2A2A"/>
          <w:sz w:val="33"/>
          <w:szCs w:val="33"/>
          <w:shd w:val="clear" w:color="auto" w:fill="EFF2F7"/>
        </w:rPr>
        <w:t>chondrial</w:t>
      </w:r>
      <w:proofErr w:type="spellEnd"/>
      <w:r w:rsidRPr="004405D6">
        <w:rPr>
          <w:color w:val="2A2A2A"/>
          <w:sz w:val="33"/>
          <w:szCs w:val="33"/>
          <w:shd w:val="clear" w:color="auto" w:fill="EFF2F7"/>
        </w:rPr>
        <w:t xml:space="preserve"> baiting and iterative mapping</w:t>
      </w:r>
      <w:r>
        <w:rPr>
          <w:color w:val="2A2A2A"/>
          <w:sz w:val="33"/>
          <w:szCs w:val="33"/>
          <w:shd w:val="clear" w:color="auto" w:fill="EFF2F7"/>
        </w:rPr>
        <w:t>)</w:t>
      </w:r>
    </w:p>
    <w:p w14:paraId="3BBBC151" w14:textId="219082B7" w:rsidR="004405D6" w:rsidRPr="00002789" w:rsidRDefault="00002789">
      <w:pPr>
        <w:rPr>
          <w:color w:val="2A2A2A"/>
          <w:sz w:val="27"/>
          <w:szCs w:val="27"/>
          <w:shd w:val="clear" w:color="auto" w:fill="FFFFFF"/>
        </w:rPr>
      </w:pPr>
      <w:proofErr w:type="spellStart"/>
      <w:r w:rsidRPr="00002789">
        <w:rPr>
          <w:color w:val="2A2A2A"/>
          <w:sz w:val="27"/>
          <w:szCs w:val="27"/>
          <w:shd w:val="clear" w:color="auto" w:fill="FFFFFF"/>
        </w:rPr>
        <w:t>MITObim</w:t>
      </w:r>
      <w:proofErr w:type="spellEnd"/>
      <w:r w:rsidRPr="00002789">
        <w:rPr>
          <w:color w:val="2A2A2A"/>
          <w:sz w:val="27"/>
          <w:szCs w:val="27"/>
          <w:shd w:val="clear" w:color="auto" w:fill="FFFFFF"/>
        </w:rPr>
        <w:t xml:space="preserve"> </w:t>
      </w:r>
      <w:proofErr w:type="gramStart"/>
      <w:r w:rsidRPr="00002789">
        <w:rPr>
          <w:color w:val="2A2A2A"/>
          <w:sz w:val="27"/>
          <w:szCs w:val="27"/>
          <w:shd w:val="clear" w:color="auto" w:fill="FFFFFF"/>
        </w:rPr>
        <w:t>is capable of assembling</w:t>
      </w:r>
      <w:proofErr w:type="gramEnd"/>
      <w:r w:rsidRPr="00002789">
        <w:rPr>
          <w:color w:val="2A2A2A"/>
          <w:sz w:val="27"/>
          <w:szCs w:val="27"/>
          <w:shd w:val="clear" w:color="auto" w:fill="FFFFFF"/>
        </w:rPr>
        <w:t xml:space="preserve"> mitochondrial genomes without the need of a reference genome of the targeted species by relying solely on mitochondrial genome information of more distantly related taxa as a starting point</w:t>
      </w:r>
      <w:r w:rsidRPr="00002789">
        <w:rPr>
          <w:color w:val="2A2A2A"/>
          <w:sz w:val="27"/>
          <w:szCs w:val="27"/>
          <w:shd w:val="clear" w:color="auto" w:fill="FFFFFF"/>
        </w:rPr>
        <w:t>.</w:t>
      </w:r>
    </w:p>
    <w:p w14:paraId="3FF363D9" w14:textId="25D0CCB9" w:rsidR="00002789" w:rsidRDefault="00002789">
      <w:pPr>
        <w:rPr>
          <w:color w:val="2A2A2A"/>
          <w:sz w:val="27"/>
          <w:szCs w:val="27"/>
          <w:shd w:val="clear" w:color="auto" w:fill="FFFFFF"/>
        </w:rPr>
      </w:pP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w:t>
      </w:r>
      <w:r>
        <w:rPr>
          <w:rFonts w:ascii="Segoe UI" w:hAnsi="Segoe UI" w:cs="Segoe UI"/>
          <w:color w:val="333333"/>
          <w:sz w:val="27"/>
          <w:szCs w:val="27"/>
          <w:shd w:val="clear" w:color="auto" w:fill="FFFFFF"/>
        </w:rPr>
        <w:t>use relatively small sequences as a seed, such as a single gene sequence from the target mitogenome or from a more distantly related organism.</w:t>
      </w:r>
      <w:r>
        <w:rPr>
          <w:rFonts w:ascii="Segoe UI" w:hAnsi="Segoe UI" w:cs="Segoe UI"/>
          <w:color w:val="333333"/>
          <w:sz w:val="27"/>
          <w:szCs w:val="27"/>
          <w:shd w:val="clear" w:color="auto" w:fill="FFFFFF"/>
        </w:rPr>
        <w:t xml:space="preserve"> </w:t>
      </w:r>
      <w:proofErr w:type="spellStart"/>
      <w:r>
        <w:rPr>
          <w:rFonts w:ascii="Segoe UI" w:hAnsi="Segoe UI" w:cs="Segoe UI"/>
          <w:color w:val="333333"/>
          <w:sz w:val="27"/>
          <w:szCs w:val="27"/>
          <w:shd w:val="clear" w:color="auto" w:fill="FFFFFF"/>
        </w:rPr>
        <w:t>MITObim</w:t>
      </w:r>
      <w:proofErr w:type="spellEnd"/>
      <w:r>
        <w:rPr>
          <w:rFonts w:ascii="Segoe UI" w:hAnsi="Segoe UI" w:cs="Segoe UI"/>
          <w:color w:val="333333"/>
          <w:sz w:val="27"/>
          <w:szCs w:val="27"/>
          <w:shd w:val="clear" w:color="auto" w:fill="FFFFFF"/>
        </w:rPr>
        <w:t xml:space="preserve"> uses </w:t>
      </w:r>
      <w:r w:rsidRPr="00002789">
        <w:rPr>
          <w:color w:val="2A2A2A"/>
          <w:sz w:val="27"/>
          <w:szCs w:val="27"/>
          <w:shd w:val="clear" w:color="auto" w:fill="FFFFFF"/>
        </w:rPr>
        <w:t>cytochrome-oxidase subunit 1 (COI) sequences</w:t>
      </w:r>
      <w:r>
        <w:rPr>
          <w:color w:val="2A2A2A"/>
          <w:sz w:val="27"/>
          <w:szCs w:val="27"/>
          <w:shd w:val="clear" w:color="auto" w:fill="FFFFFF"/>
        </w:rPr>
        <w:t xml:space="preserve"> as the seed references.</w:t>
      </w:r>
    </w:p>
    <w:p w14:paraId="564A944C" w14:textId="4FFC3652" w:rsidR="00002789" w:rsidRDefault="00C45D8E">
      <w:pPr>
        <w:rPr>
          <w:b/>
          <w:bCs/>
          <w:color w:val="2A2A2A"/>
          <w:sz w:val="31"/>
          <w:szCs w:val="31"/>
          <w:shd w:val="clear" w:color="auto" w:fill="FFFFFF"/>
        </w:rPr>
      </w:pPr>
      <w:r>
        <w:rPr>
          <w:b/>
          <w:bCs/>
          <w:color w:val="2A2A2A"/>
          <w:sz w:val="31"/>
          <w:szCs w:val="31"/>
          <w:shd w:val="clear" w:color="auto" w:fill="FFFFFF"/>
        </w:rPr>
        <w:t>STEPS:</w:t>
      </w:r>
    </w:p>
    <w:p w14:paraId="60161865" w14:textId="081518D5"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 xml:space="preserve">Pre-Processing: </w:t>
      </w:r>
      <w:r w:rsidRPr="00A4596C">
        <w:rPr>
          <w:color w:val="2A2A2A"/>
          <w:sz w:val="27"/>
          <w:szCs w:val="27"/>
          <w:shd w:val="clear" w:color="auto" w:fill="FFFFFF"/>
        </w:rPr>
        <w:t xml:space="preserve">NGS reads (read length 100 bp) were error corrected using the error correction tool (personal communication </w:t>
      </w:r>
      <w:proofErr w:type="spellStart"/>
      <w:r w:rsidRPr="00A4596C">
        <w:rPr>
          <w:color w:val="2A2A2A"/>
          <w:sz w:val="27"/>
          <w:szCs w:val="27"/>
          <w:shd w:val="clear" w:color="auto" w:fill="FFFFFF"/>
        </w:rPr>
        <w:t>Ruibang</w:t>
      </w:r>
      <w:proofErr w:type="spellEnd"/>
      <w:r w:rsidRPr="00A4596C">
        <w:rPr>
          <w:color w:val="2A2A2A"/>
          <w:sz w:val="27"/>
          <w:szCs w:val="27"/>
          <w:shd w:val="clear" w:color="auto" w:fill="FFFFFF"/>
        </w:rPr>
        <w:t xml:space="preserve"> Luo, BGI) of the SOAPdenovo2 software and quality trimmed using Mimicking Intelligent Read Assembly (MIRA) v3.4.1.1 for subsequent analyses.</w:t>
      </w:r>
    </w:p>
    <w:p w14:paraId="54E2CDC4" w14:textId="794670FA" w:rsidR="00A4596C" w:rsidRPr="00E36BF8" w:rsidRDefault="00C45D8E" w:rsidP="00A4596C">
      <w:pPr>
        <w:pStyle w:val="ListParagraph"/>
        <w:numPr>
          <w:ilvl w:val="0"/>
          <w:numId w:val="2"/>
        </w:numPr>
        <w:rPr>
          <w:sz w:val="31"/>
          <w:szCs w:val="31"/>
        </w:rPr>
      </w:pPr>
      <w:r w:rsidRPr="00A4596C">
        <w:rPr>
          <w:color w:val="2A2A2A"/>
          <w:sz w:val="27"/>
          <w:szCs w:val="27"/>
          <w:shd w:val="clear" w:color="auto" w:fill="FFFFFF"/>
        </w:rPr>
        <w:t>step one identifies conserved regions between genomic reads of the target organism to the mitochondrial genome of a reference species by a mapping assembly from which a new reference is derived. This new reference may initially be gapped or consist of several </w:t>
      </w:r>
      <w:r w:rsidRPr="00A4596C">
        <w:rPr>
          <w:rStyle w:val="Emphasis"/>
          <w:color w:val="2A2A2A"/>
          <w:sz w:val="27"/>
          <w:szCs w:val="27"/>
          <w:bdr w:val="none" w:sz="0" w:space="0" w:color="auto" w:frame="1"/>
          <w:shd w:val="clear" w:color="auto" w:fill="FFFFFF"/>
        </w:rPr>
        <w:t>contigs</w:t>
      </w:r>
      <w:r w:rsidRPr="00A4596C">
        <w:rPr>
          <w:color w:val="2A2A2A"/>
          <w:sz w:val="27"/>
          <w:szCs w:val="27"/>
          <w:shd w:val="clear" w:color="auto" w:fill="FFFFFF"/>
        </w:rPr>
        <w:t>, as non-conserved parts of the target organism will not have mapped to the mitochondrial genome of the reference species.</w:t>
      </w:r>
    </w:p>
    <w:p w14:paraId="0F0B28E0" w14:textId="3B964193" w:rsidR="00A4596C" w:rsidRPr="00E36BF8" w:rsidRDefault="00A4596C" w:rsidP="00E36BF8">
      <w:pPr>
        <w:pStyle w:val="ListParagraph"/>
        <w:numPr>
          <w:ilvl w:val="0"/>
          <w:numId w:val="2"/>
        </w:numPr>
        <w:rPr>
          <w:sz w:val="31"/>
          <w:szCs w:val="31"/>
        </w:rPr>
      </w:pPr>
      <w:r w:rsidRPr="00A4596C">
        <w:rPr>
          <w:color w:val="2A2A2A"/>
          <w:sz w:val="27"/>
          <w:szCs w:val="27"/>
          <w:shd w:val="clear" w:color="auto" w:fill="FFFFFF"/>
        </w:rPr>
        <w:t xml:space="preserve">Step two of </w:t>
      </w:r>
      <w:proofErr w:type="spellStart"/>
      <w:r w:rsidRPr="00A4596C">
        <w:rPr>
          <w:color w:val="2A2A2A"/>
          <w:sz w:val="27"/>
          <w:szCs w:val="27"/>
          <w:shd w:val="clear" w:color="auto" w:fill="FFFFFF"/>
        </w:rPr>
        <w:t>MITObim</w:t>
      </w:r>
      <w:proofErr w:type="spellEnd"/>
      <w:r w:rsidRPr="00A4596C">
        <w:rPr>
          <w:color w:val="2A2A2A"/>
          <w:sz w:val="27"/>
          <w:szCs w:val="27"/>
          <w:shd w:val="clear" w:color="auto" w:fill="FFFFFF"/>
        </w:rPr>
        <w:t xml:space="preserve"> is an </w:t>
      </w:r>
      <w:r w:rsidRPr="00A4596C">
        <w:rPr>
          <w:rStyle w:val="Emphasis"/>
          <w:color w:val="2A2A2A"/>
          <w:sz w:val="27"/>
          <w:szCs w:val="27"/>
          <w:bdr w:val="none" w:sz="0" w:space="0" w:color="auto" w:frame="1"/>
          <w:shd w:val="clear" w:color="auto" w:fill="FFFFFF"/>
        </w:rPr>
        <w:t>in silico</w:t>
      </w:r>
      <w:r w:rsidRPr="00A4596C">
        <w:rPr>
          <w:color w:val="2A2A2A"/>
          <w:sz w:val="27"/>
          <w:szCs w:val="27"/>
          <w:shd w:val="clear" w:color="auto" w:fill="FFFFFF"/>
        </w:rPr>
        <w:t xml:space="preserve">-baiting step: using the newly created reference sequence as bait, all reads from the total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which are partly or fully overlapping with the bait (minimum overlap is n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of length k) are retrieved and integrated into a new data set. This baiting step with relatively long k-</w:t>
      </w:r>
      <w:proofErr w:type="spellStart"/>
      <w:r w:rsidRPr="00A4596C">
        <w:rPr>
          <w:color w:val="2A2A2A"/>
          <w:sz w:val="27"/>
          <w:szCs w:val="27"/>
          <w:shd w:val="clear" w:color="auto" w:fill="FFFFFF"/>
        </w:rPr>
        <w:t>mers</w:t>
      </w:r>
      <w:proofErr w:type="spellEnd"/>
      <w:r w:rsidRPr="00A4596C">
        <w:rPr>
          <w:color w:val="2A2A2A"/>
          <w:sz w:val="27"/>
          <w:szCs w:val="27"/>
          <w:shd w:val="clear" w:color="auto" w:fill="FFFFFF"/>
        </w:rPr>
        <w:t xml:space="preserve"> (k = 31) is crucial for the specificity of the whole process as the </w:t>
      </w:r>
      <w:r w:rsidRPr="00A4596C">
        <w:rPr>
          <w:color w:val="2A2A2A"/>
          <w:sz w:val="27"/>
          <w:szCs w:val="27"/>
          <w:shd w:val="clear" w:color="auto" w:fill="FFFFFF"/>
        </w:rPr>
        <w:lastRenderedPageBreak/>
        <w:t>subsequent mapping assembly is performed with comparatively low stringency, i.e. allowing mismatches in up to 15% of the bases of the total length of a Smith–Waterman alignment overlap. </w:t>
      </w:r>
    </w:p>
    <w:p w14:paraId="7D2ECA34" w14:textId="2845E0DB" w:rsidR="00A4596C" w:rsidRPr="00A4596C" w:rsidRDefault="00A4596C" w:rsidP="00C45D8E">
      <w:pPr>
        <w:pStyle w:val="ListParagraph"/>
        <w:numPr>
          <w:ilvl w:val="0"/>
          <w:numId w:val="2"/>
        </w:numPr>
        <w:rPr>
          <w:sz w:val="31"/>
          <w:szCs w:val="31"/>
        </w:rPr>
      </w:pPr>
      <w:r w:rsidRPr="00A4596C">
        <w:rPr>
          <w:color w:val="2A2A2A"/>
          <w:sz w:val="27"/>
          <w:szCs w:val="27"/>
          <w:shd w:val="clear" w:color="auto" w:fill="FFFFFF"/>
        </w:rPr>
        <w:t>In the third step, the reads identified in the previous step are mapped back to the gapped reference sequence using MIRA v3.4.1.1. This will lead to an extension of the reference sequence and a reduction of gaps. To be incorporated as an extension into a mapping assembly, a read requires an overlap of at least 30 bases at the edge of a reference.</w:t>
      </w:r>
    </w:p>
    <w:p w14:paraId="1BCFECAE" w14:textId="31B1E67A" w:rsidR="00A4596C" w:rsidRPr="00A4596C" w:rsidRDefault="00A4596C" w:rsidP="00A4596C">
      <w:pPr>
        <w:pStyle w:val="ListParagraph"/>
        <w:rPr>
          <w:sz w:val="31"/>
          <w:szCs w:val="31"/>
        </w:rPr>
      </w:pPr>
    </w:p>
    <w:p w14:paraId="10E39CAE" w14:textId="432C3489" w:rsidR="00A4596C" w:rsidRDefault="00A4596C" w:rsidP="00A4596C">
      <w:pPr>
        <w:pStyle w:val="ListParagraph"/>
        <w:rPr>
          <w:sz w:val="27"/>
          <w:szCs w:val="27"/>
        </w:rPr>
      </w:pPr>
      <w:r>
        <w:rPr>
          <w:noProof/>
          <w:sz w:val="27"/>
          <w:szCs w:val="27"/>
        </w:rPr>
        <w:drawing>
          <wp:inline distT="0" distB="0" distL="0" distR="0" wp14:anchorId="50893FAE" wp14:editId="34051CBC">
            <wp:extent cx="4986020" cy="49909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08727" cy="5013639"/>
                    </a:xfrm>
                    <a:prstGeom prst="rect">
                      <a:avLst/>
                    </a:prstGeom>
                  </pic:spPr>
                </pic:pic>
              </a:graphicData>
            </a:graphic>
          </wp:inline>
        </w:drawing>
      </w:r>
    </w:p>
    <w:p w14:paraId="11E83640" w14:textId="05AA706B" w:rsidR="00A4596C" w:rsidRDefault="00A4596C" w:rsidP="00A4596C">
      <w:pPr>
        <w:pStyle w:val="ListParagraph"/>
        <w:rPr>
          <w:sz w:val="27"/>
          <w:szCs w:val="27"/>
        </w:rPr>
      </w:pPr>
    </w:p>
    <w:p w14:paraId="594EEB81" w14:textId="77777777" w:rsidR="00E36BF8" w:rsidRDefault="00E36BF8" w:rsidP="00A4596C">
      <w:pPr>
        <w:rPr>
          <w:sz w:val="27"/>
          <w:szCs w:val="27"/>
        </w:rPr>
      </w:pPr>
    </w:p>
    <w:p w14:paraId="76A7629A" w14:textId="0E5E78DA" w:rsidR="00A4596C" w:rsidRPr="00A4596C" w:rsidRDefault="00A4596C" w:rsidP="00A4596C">
      <w:pPr>
        <w:rPr>
          <w:sz w:val="27"/>
          <w:szCs w:val="27"/>
        </w:rPr>
      </w:pPr>
      <w:r w:rsidRPr="00E36BF8">
        <w:rPr>
          <w:b/>
          <w:bCs/>
          <w:sz w:val="31"/>
          <w:szCs w:val="31"/>
        </w:rPr>
        <w:lastRenderedPageBreak/>
        <w:t>Note</w:t>
      </w:r>
      <w:r w:rsidRPr="00A4596C">
        <w:rPr>
          <w:sz w:val="27"/>
          <w:szCs w:val="27"/>
        </w:rPr>
        <w:t>:</w:t>
      </w:r>
      <w:r>
        <w:rPr>
          <w:sz w:val="27"/>
          <w:szCs w:val="27"/>
        </w:rPr>
        <w:t xml:space="preserve"> </w:t>
      </w:r>
      <w:r w:rsidRPr="00A4596C">
        <w:rPr>
          <w:color w:val="2A2A2A"/>
          <w:sz w:val="27"/>
          <w:szCs w:val="27"/>
          <w:shd w:val="clear" w:color="auto" w:fill="FFFFFF"/>
        </w:rPr>
        <w:t xml:space="preserve">The initial mapping assembly in step one may have increased memory requirements, as it is dealing with the entire genomic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This increased memory consumption can be bypassed by an initial fishing step (-quick option) reducing the </w:t>
      </w:r>
      <w:proofErr w:type="spellStart"/>
      <w:r w:rsidRPr="00A4596C">
        <w:rPr>
          <w:color w:val="2A2A2A"/>
          <w:sz w:val="27"/>
          <w:szCs w:val="27"/>
          <w:shd w:val="clear" w:color="auto" w:fill="FFFFFF"/>
        </w:rPr>
        <w:t>readpool</w:t>
      </w:r>
      <w:proofErr w:type="spellEnd"/>
      <w:r w:rsidRPr="00A4596C">
        <w:rPr>
          <w:color w:val="2A2A2A"/>
          <w:sz w:val="27"/>
          <w:szCs w:val="27"/>
          <w:shd w:val="clear" w:color="auto" w:fill="FFFFFF"/>
        </w:rPr>
        <w:t xml:space="preserve"> to only reads with a certain k-</w:t>
      </w:r>
      <w:proofErr w:type="spellStart"/>
      <w:r w:rsidRPr="00A4596C">
        <w:rPr>
          <w:color w:val="2A2A2A"/>
          <w:sz w:val="27"/>
          <w:szCs w:val="27"/>
          <w:shd w:val="clear" w:color="auto" w:fill="FFFFFF"/>
        </w:rPr>
        <w:t>mer</w:t>
      </w:r>
      <w:proofErr w:type="spellEnd"/>
      <w:r w:rsidRPr="00A4596C">
        <w:rPr>
          <w:color w:val="2A2A2A"/>
          <w:sz w:val="27"/>
          <w:szCs w:val="27"/>
          <w:shd w:val="clear" w:color="auto" w:fill="FFFFFF"/>
        </w:rPr>
        <w:t xml:space="preserve"> overlap to the reference already before the initial assembly. This approach initially slightly decreases specificity, but nevertheless performs well with not too distantly related references available and can be performed as a standard primary test.</w:t>
      </w:r>
    </w:p>
    <w:p w14:paraId="100134A2" w14:textId="77777777" w:rsidR="00A4596C" w:rsidRPr="00C45D8E" w:rsidRDefault="00A4596C" w:rsidP="00A4596C">
      <w:pPr>
        <w:pStyle w:val="ListParagraph"/>
        <w:rPr>
          <w:sz w:val="27"/>
          <w:szCs w:val="27"/>
        </w:rPr>
      </w:pPr>
    </w:p>
    <w:sectPr w:rsidR="00A4596C" w:rsidRPr="00C45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A96F0" w14:textId="77777777" w:rsidR="00020F83" w:rsidRDefault="00020F83" w:rsidP="00C02CA6">
      <w:pPr>
        <w:spacing w:after="0" w:line="240" w:lineRule="auto"/>
      </w:pPr>
      <w:r>
        <w:separator/>
      </w:r>
    </w:p>
  </w:endnote>
  <w:endnote w:type="continuationSeparator" w:id="0">
    <w:p w14:paraId="104419F5" w14:textId="77777777" w:rsidR="00020F83" w:rsidRDefault="00020F83"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6282D" w14:textId="77777777" w:rsidR="00020F83" w:rsidRDefault="00020F83" w:rsidP="00C02CA6">
      <w:pPr>
        <w:spacing w:after="0" w:line="240" w:lineRule="auto"/>
      </w:pPr>
      <w:r>
        <w:separator/>
      </w:r>
    </w:p>
  </w:footnote>
  <w:footnote w:type="continuationSeparator" w:id="0">
    <w:p w14:paraId="7BFF26BA" w14:textId="77777777" w:rsidR="00020F83" w:rsidRDefault="00020F83"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638B2"/>
    <w:multiLevelType w:val="hybridMultilevel"/>
    <w:tmpl w:val="705A9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002789"/>
    <w:rsid w:val="00020F83"/>
    <w:rsid w:val="001978E5"/>
    <w:rsid w:val="00361627"/>
    <w:rsid w:val="004405D6"/>
    <w:rsid w:val="0058261B"/>
    <w:rsid w:val="00602CCA"/>
    <w:rsid w:val="00A4596C"/>
    <w:rsid w:val="00C02CA6"/>
    <w:rsid w:val="00C45D8E"/>
    <w:rsid w:val="00D15E86"/>
    <w:rsid w:val="00E04240"/>
    <w:rsid w:val="00E36BF8"/>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 w:type="character" w:styleId="Emphasis">
    <w:name w:val="Emphasis"/>
    <w:basedOn w:val="DefaultParagraphFont"/>
    <w:uiPriority w:val="20"/>
    <w:qFormat/>
    <w:rsid w:val="00C45D8E"/>
    <w:rPr>
      <w:i/>
      <w:iCs/>
    </w:rPr>
  </w:style>
  <w:style w:type="character" w:styleId="UnresolvedMention">
    <w:name w:val="Unresolved Mention"/>
    <w:basedOn w:val="DefaultParagraphFont"/>
    <w:uiPriority w:val="99"/>
    <w:semiHidden/>
    <w:unhideWhenUsed/>
    <w:rsid w:val="00A4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4</cp:revision>
  <dcterms:created xsi:type="dcterms:W3CDTF">2020-11-21T16:27:00Z</dcterms:created>
  <dcterms:modified xsi:type="dcterms:W3CDTF">2020-11-21T18:03:00Z</dcterms:modified>
</cp:coreProperties>
</file>