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40" w:line="240" w:lineRule="auto"/>
      </w:pPr>
      <w:r>
        <w:rPr>
          <w:rFonts w:ascii="Arial" w:hAnsi="Arial" w:eastAsia="Arial"/>
          <w:b w:val="0"/>
          <w:i w:val="0"/>
          <w:sz w:val="40"/>
        </w:rPr>
        <w:t>Account Brief: jpmorganchase.com</w:t>
      </w:r>
    </w:p>
    <w:p>
      <w:pPr>
        <w:spacing w:before="0" w:after="80" w:line="240" w:lineRule="auto"/>
      </w:pPr>
      <w:r>
        <w:rPr>
          <w:rFonts w:ascii="Arial" w:hAnsi="Arial" w:eastAsia="Arial"/>
          <w:b w:val="0"/>
          <w:i/>
          <w:sz w:val="17"/>
        </w:rPr>
        <w:t>Product: SentinelShield   |   Prepared 10/16/2026   |   Nirmala Sendilkumar</w:t>
      </w:r>
    </w:p>
    <w:p>
      <w:pPr>
        <w:pStyle w:val="Heading2"/>
        <w:spacing w:before="100" w:after="20" w:line="240" w:lineRule="auto"/>
      </w:pPr>
      <w:r>
        <w:rPr>
          <w:rFonts w:ascii="Arial" w:hAnsi="Arial" w:eastAsia="Arial"/>
          <w:b w:val="0"/>
          <w:i w:val="0"/>
          <w:sz w:val="22"/>
        </w:rPr>
        <w:t>Company Strategy</w:t>
      </w:r>
    </w:p>
    <w:p>
      <w:pPr>
        <w:spacing w:before="0" w:after="40" w:line="240" w:lineRule="auto"/>
      </w:pPr>
      <w:r>
        <w:rPr>
          <w:rFonts w:ascii="Arial" w:hAnsi="Arial" w:eastAsia="Arial"/>
          <w:b w:val="0"/>
          <w:i w:val="0"/>
          <w:sz w:val="17"/>
        </w:rPr>
        <w:t>JPMorganChase operates in over 100 global markets with more than 318,000 employees, including approximately 65,000 technologists. The firm’s strategy centers on service, innovation, and long-term economic growth, backed by significant investments in physical workspaces (including a new global headquarters in New York City) and regional tech hubs like Plano, Texas.</w:t>
      </w:r>
    </w:p>
    <w:p>
      <w:pPr>
        <w:spacing w:before="0" w:after="40" w:line="240" w:lineRule="auto"/>
      </w:pPr>
      <w:r>
        <w:rPr>
          <w:rFonts w:ascii="Arial" w:hAnsi="Arial" w:eastAsia="Arial"/>
          <w:b w:val="0"/>
          <w:i w:val="0"/>
          <w:sz w:val="17"/>
        </w:rPr>
        <w:t>Recent headlines indicate active engagement with advanced technological developments and risk management:</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sz w:val="17"/>
        </w:rPr>
        <w:t>The Times of India</w:t>
      </w:r>
      <w:r>
        <w:rPr>
          <w:rFonts w:ascii="Arial" w:hAnsi="Arial" w:eastAsia="Arial"/>
          <w:b w:val="0"/>
          <w:i w:val="0"/>
          <w:sz w:val="17"/>
        </w:rPr>
        <w:t xml:space="preserve"> (April 9, 2026) reported that testing by JP Morgan, Apple, Google, and eight other companies influenced Anthropic’s decision not to release a model to the public.</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sz w:val="17"/>
        </w:rPr>
        <w:t>The Motley Fool</w:t>
      </w:r>
      <w:r>
        <w:rPr>
          <w:rFonts w:ascii="Arial" w:hAnsi="Arial" w:eastAsia="Arial"/>
          <w:b w:val="0"/>
          <w:i w:val="0"/>
          <w:sz w:val="17"/>
        </w:rPr>
        <w:t xml:space="preserve"> (October 10, 2026) reported that Jamie Dimon revealed one of the biggest risks to JPMorgan Chase.</w:t>
      </w:r>
    </w:p>
    <w:p>
      <w:pPr>
        <w:pStyle w:val="Heading2"/>
        <w:spacing w:before="100" w:after="20" w:line="240" w:lineRule="auto"/>
      </w:pPr>
      <w:r>
        <w:rPr>
          <w:rFonts w:ascii="Arial" w:hAnsi="Arial" w:eastAsia="Arial"/>
          <w:b w:val="0"/>
          <w:i w:val="0"/>
          <w:sz w:val="22"/>
        </w:rPr>
        <w:t>Competitor Mentions</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CrowdStrike: 0 mentions found in the provided sources.</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Palo Alto Networks: 0 mentions found in the provided sources.</w:t>
      </w:r>
    </w:p>
    <w:p>
      <w:pPr>
        <w:pStyle w:val="Heading2"/>
        <w:spacing w:before="100" w:after="20" w:line="240" w:lineRule="auto"/>
      </w:pPr>
      <w:r>
        <w:rPr>
          <w:rFonts w:ascii="Arial" w:hAnsi="Arial" w:eastAsia="Arial"/>
          <w:b w:val="0"/>
          <w:i w:val="0"/>
          <w:sz w:val="22"/>
        </w:rPr>
        <w:t>Leadership Information</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Jamie Dimon:</w:t>
      </w:r>
      <w:r>
        <w:rPr>
          <w:rFonts w:ascii="Arial" w:hAnsi="Arial" w:eastAsia="Arial"/>
          <w:b w:val="0"/>
          <w:i w:val="0"/>
          <w:sz w:val="17"/>
        </w:rPr>
        <w:t xml:space="preserve"> Chairman and Chief Executive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Lori Beer:</w:t>
      </w:r>
      <w:r>
        <w:rPr>
          <w:rFonts w:ascii="Arial" w:hAnsi="Arial" w:eastAsia="Arial"/>
          <w:b w:val="0"/>
          <w:i w:val="0"/>
          <w:sz w:val="17"/>
        </w:rPr>
        <w:t xml:space="preserve"> Global Chief Information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Ashley Bacon:</w:t>
      </w:r>
      <w:r>
        <w:rPr>
          <w:rFonts w:ascii="Arial" w:hAnsi="Arial" w:eastAsia="Arial"/>
          <w:b w:val="0"/>
          <w:i w:val="0"/>
          <w:sz w:val="17"/>
        </w:rPr>
        <w:t xml:space="preserve"> Chief Risk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Jennifer Piepszak:</w:t>
      </w:r>
      <w:r>
        <w:rPr>
          <w:rFonts w:ascii="Arial" w:hAnsi="Arial" w:eastAsia="Arial"/>
          <w:b w:val="0"/>
          <w:i w:val="0"/>
          <w:sz w:val="17"/>
        </w:rPr>
        <w:t xml:space="preserve"> Chief Operating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Jeremy Barnum:</w:t>
      </w:r>
      <w:r>
        <w:rPr>
          <w:rFonts w:ascii="Arial" w:hAnsi="Arial" w:eastAsia="Arial"/>
          <w:b w:val="0"/>
          <w:i w:val="0"/>
          <w:sz w:val="17"/>
        </w:rPr>
        <w:t xml:space="preserve"> Chief Financial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Doug Petno:</w:t>
      </w:r>
      <w:r>
        <w:rPr>
          <w:rFonts w:ascii="Arial" w:hAnsi="Arial" w:eastAsia="Arial"/>
          <w:b w:val="0"/>
          <w:i w:val="0"/>
          <w:sz w:val="17"/>
        </w:rPr>
        <w:t xml:space="preserve"> Co-President of JPMorganChase &amp; CEO of Commercial &amp; Investment Bank</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Troy Rohrbaugh:</w:t>
      </w:r>
      <w:r>
        <w:rPr>
          <w:rFonts w:ascii="Arial" w:hAnsi="Arial" w:eastAsia="Arial"/>
          <w:b w:val="0"/>
          <w:i w:val="0"/>
          <w:sz w:val="17"/>
        </w:rPr>
        <w:t xml:space="preserve"> Co-President of JPMorganChase &amp; CEO of Consumer &amp; Community Banking</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Mary Callahan Erdoes:</w:t>
      </w:r>
      <w:r>
        <w:rPr>
          <w:rFonts w:ascii="Arial" w:hAnsi="Arial" w:eastAsia="Arial"/>
          <w:b w:val="0"/>
          <w:i w:val="0"/>
          <w:sz w:val="17"/>
        </w:rPr>
        <w:t xml:space="preserve"> CEO, Asset &amp; Wealth Management</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Stacey Friedman:</w:t>
      </w:r>
      <w:r>
        <w:rPr>
          <w:rFonts w:ascii="Arial" w:hAnsi="Arial" w:eastAsia="Arial"/>
          <w:b w:val="0"/>
          <w:i w:val="0"/>
          <w:sz w:val="17"/>
        </w:rPr>
        <w:t xml:space="preserve"> General Counsel</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Robin Leopold:</w:t>
      </w:r>
      <w:r>
        <w:rPr>
          <w:rFonts w:ascii="Arial" w:hAnsi="Arial" w:eastAsia="Arial"/>
          <w:b w:val="0"/>
          <w:i w:val="0"/>
          <w:sz w:val="17"/>
        </w:rPr>
        <w:t xml:space="preserve"> Head of Human Resources</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Tim Berry:</w:t>
      </w:r>
      <w:r>
        <w:rPr>
          <w:rFonts w:ascii="Arial" w:hAnsi="Arial" w:eastAsia="Arial"/>
          <w:b w:val="0"/>
          <w:i w:val="0"/>
          <w:sz w:val="17"/>
        </w:rPr>
        <w:t xml:space="preserve"> Global Head of Corporate Responsibility and Chairman of the Mid-Atlantic Region</w:t>
      </w:r>
    </w:p>
    <w:p>
      <w:pPr>
        <w:spacing w:before="0" w:after="40" w:line="240" w:lineRule="auto"/>
      </w:pPr>
      <w:r>
        <w:rPr>
          <w:rFonts w:ascii="Arial" w:hAnsi="Arial" w:eastAsia="Arial"/>
          <w:b w:val="0"/>
          <w:i/>
          <w:sz w:val="17"/>
        </w:rPr>
        <w:t>Note:</w:t>
      </w:r>
      <w:r>
        <w:rPr>
          <w:rFonts w:ascii="Arial" w:hAnsi="Arial" w:eastAsia="Arial"/>
          <w:b w:val="0"/>
          <w:i w:val="0"/>
          <w:sz w:val="17"/>
        </w:rPr>
        <w:t xml:space="preserve"> A specific Chief Information Security Officer (CISO) is not identified in the provided sources. Lori Beer (Global CIO) and Ashley Bacon (Chief Risk Officer) represent the key technology and risk executives on the Operating Committee.</w:t>
      </w:r>
    </w:p>
    <w:p>
      <w:pPr>
        <w:pStyle w:val="Heading2"/>
        <w:spacing w:before="100" w:after="20" w:line="240" w:lineRule="auto"/>
      </w:pPr>
      <w:r>
        <w:rPr>
          <w:rFonts w:ascii="Arial" w:hAnsi="Arial" w:eastAsia="Arial"/>
          <w:b w:val="0"/>
          <w:i w:val="0"/>
          <w:sz w:val="22"/>
        </w:rPr>
        <w:t>Product/Strategy Summary</w:t>
      </w:r>
    </w:p>
    <w:p>
      <w:pPr>
        <w:spacing w:before="0" w:after="40" w:line="240" w:lineRule="auto"/>
      </w:pPr>
      <w:r>
        <w:rPr>
          <w:rFonts w:ascii="Arial" w:hAnsi="Arial" w:eastAsia="Arial"/>
          <w:b w:val="0"/>
          <w:i w:val="0"/>
          <w:sz w:val="17"/>
        </w:rPr>
        <w:t xml:space="preserve">SentinelShield offers real-time cyber threat detection to reduce breach risk and response times for large financial institutions. While JPMorganChase operates at massive scale with ~65,000 technologists and actively tests leading-edge technologies (as noted by </w:t>
      </w:r>
      <w:r>
        <w:rPr>
          <w:rFonts w:ascii="Arial" w:hAnsi="Arial" w:eastAsia="Arial"/>
          <w:b w:val="0"/>
          <w:i/>
          <w:sz w:val="17"/>
        </w:rPr>
        <w:t>The Times of India</w:t>
      </w:r>
      <w:r>
        <w:rPr>
          <w:rFonts w:ascii="Arial" w:hAnsi="Arial" w:eastAsia="Arial"/>
          <w:b w:val="0"/>
          <w:i w:val="0"/>
          <w:sz w:val="17"/>
        </w:rPr>
        <w:t xml:space="preserve"> on April 9, 2026), a CISO contact is not listed in the provided material. Outbound positioning should target the office of Global CIO Lori Beer or Chief Risk Officer Ashley Bacon, emphasizing real-time threat mitigation across the firm’s global infrastructure.</w:t>
      </w:r>
    </w:p>
    <w:p>
      <w:pPr>
        <w:pStyle w:val="Heading2"/>
        <w:spacing w:before="100" w:after="20" w:line="240" w:lineRule="auto"/>
      </w:pPr>
      <w:r>
        <w:rPr>
          <w:rFonts w:ascii="Arial" w:hAnsi="Arial" w:eastAsia="Arial"/>
          <w:b w:val="0"/>
          <w:i w:val="0"/>
          <w:sz w:val="22"/>
        </w:rPr>
        <w:t>Article Links</w:t>
      </w:r>
    </w:p>
    <w:p>
      <w:pPr>
        <w:spacing w:before="0" w:after="40" w:line="240" w:lineRule="auto"/>
      </w:pPr>
      <w:r>
        <w:rPr>
          <w:rFonts w:ascii="Arial" w:hAnsi="Arial" w:eastAsia="Arial"/>
          <w:b/>
          <w:i w:val="0"/>
          <w:sz w:val="17"/>
        </w:rPr>
        <w:t>Company pages</w:t>
      </w:r>
    </w:p>
    <w:p>
      <w:pPr>
        <w:spacing w:before="0" w:after="20" w:line="240" w:lineRule="auto"/>
        <w:ind w:left="288" w:hanging="216"/>
      </w:pPr>
      <w:r>
        <w:rPr>
          <w:rFonts w:ascii="Arial" w:hAnsi="Arial" w:eastAsia="Arial"/>
          <w:b w:val="0"/>
          <w:i w:val="0"/>
          <w:sz w:val="17"/>
        </w:rPr>
        <w:t xml:space="preserve">•  </w:t>
      </w:r>
      <w:hyperlink r:id="rId12">
        <w:r>
          <w:rPr>
            <w:rFonts w:ascii="Arial" w:hAnsi="Arial" w:eastAsia="Arial"/>
            <w:b w:val="0"/>
            <w:i w:val="0"/>
            <w:color w:val="039BE5"/>
            <w:sz w:val="17"/>
            <w:u w:val="single"/>
          </w:rPr>
          <w:t>https://www.jpmorganchase.com</w:t>
        </w:r>
      </w:hyperlink>
    </w:p>
    <w:p>
      <w:pPr>
        <w:spacing w:before="0" w:after="20" w:line="240" w:lineRule="auto"/>
        <w:ind w:left="288" w:hanging="216"/>
      </w:pPr>
      <w:r>
        <w:rPr>
          <w:rFonts w:ascii="Arial" w:hAnsi="Arial" w:eastAsia="Arial"/>
          <w:b w:val="0"/>
          <w:i w:val="0"/>
          <w:sz w:val="17"/>
        </w:rPr>
        <w:t xml:space="preserve">•  </w:t>
      </w:r>
      <w:hyperlink r:id="rId13">
        <w:r>
          <w:rPr>
            <w:rFonts w:ascii="Arial" w:hAnsi="Arial" w:eastAsia="Arial"/>
            <w:b w:val="0"/>
            <w:i w:val="0"/>
            <w:color w:val="039BE5"/>
            <w:sz w:val="17"/>
            <w:u w:val="single"/>
          </w:rPr>
          <w:t>https://www.jpmorganchase.com/about/leadership</w:t>
        </w:r>
      </w:hyperlink>
    </w:p>
    <w:p>
      <w:pPr>
        <w:spacing w:before="0" w:after="20" w:line="240" w:lineRule="auto"/>
        <w:ind w:left="288" w:hanging="216"/>
      </w:pPr>
      <w:r>
        <w:rPr>
          <w:rFonts w:ascii="Arial" w:hAnsi="Arial" w:eastAsia="Arial"/>
          <w:b w:val="0"/>
          <w:i w:val="0"/>
          <w:sz w:val="17"/>
        </w:rPr>
        <w:t xml:space="preserve">•  </w:t>
      </w:r>
      <w:hyperlink r:id="rId14">
        <w:r>
          <w:rPr>
            <w:rFonts w:ascii="Arial" w:hAnsi="Arial" w:eastAsia="Arial"/>
            <w:b w:val="0"/>
            <w:i w:val="0"/>
            <w:color w:val="039BE5"/>
            <w:sz w:val="17"/>
            <w:u w:val="single"/>
          </w:rPr>
          <w:t>https://www.jpmorganchase.com/newsroom/from-the-desk-of</w:t>
        </w:r>
      </w:hyperlink>
    </w:p>
    <w:p>
      <w:pPr>
        <w:spacing w:before="0" w:after="20" w:line="240" w:lineRule="auto"/>
        <w:ind w:left="288" w:hanging="216"/>
      </w:pPr>
      <w:r>
        <w:rPr>
          <w:rFonts w:ascii="Arial" w:hAnsi="Arial" w:eastAsia="Arial"/>
          <w:b w:val="0"/>
          <w:i w:val="0"/>
          <w:sz w:val="17"/>
        </w:rPr>
        <w:t xml:space="preserve">•  </w:t>
      </w:r>
      <w:hyperlink r:id="rId15">
        <w:r>
          <w:rPr>
            <w:rFonts w:ascii="Arial" w:hAnsi="Arial" w:eastAsia="Arial"/>
            <w:b w:val="0"/>
            <w:i w:val="0"/>
            <w:color w:val="039BE5"/>
            <w:sz w:val="17"/>
            <w:u w:val="single"/>
          </w:rPr>
          <w:t>https://www.jpmorganchase.com/careers</w:t>
        </w:r>
      </w:hyperlink>
    </w:p>
    <w:p>
      <w:pPr>
        <w:spacing w:before="0" w:after="20" w:line="240" w:lineRule="auto"/>
        <w:ind w:left="288" w:hanging="216"/>
      </w:pPr>
      <w:r>
        <w:rPr>
          <w:rFonts w:ascii="Arial" w:hAnsi="Arial" w:eastAsia="Arial"/>
          <w:b w:val="0"/>
          <w:i w:val="0"/>
          <w:sz w:val="17"/>
        </w:rPr>
        <w:t xml:space="preserve">•  </w:t>
      </w:r>
      <w:hyperlink r:id="rId16">
        <w:r>
          <w:rPr>
            <w:rFonts w:ascii="Arial" w:hAnsi="Arial" w:eastAsia="Arial"/>
            <w:b w:val="0"/>
            <w:i w:val="0"/>
            <w:color w:val="039BE5"/>
            <w:sz w:val="17"/>
            <w:u w:val="single"/>
          </w:rPr>
          <w:t>https://www.jpmorganchase.com/careers/work-with-us</w:t>
        </w:r>
      </w:hyperlink>
    </w:p>
    <w:p>
      <w:pPr>
        <w:spacing w:before="0" w:after="20" w:line="240" w:lineRule="auto"/>
        <w:ind w:left="288" w:hanging="216"/>
      </w:pPr>
      <w:r>
        <w:rPr>
          <w:rFonts w:ascii="Arial" w:hAnsi="Arial" w:eastAsia="Arial"/>
          <w:b w:val="0"/>
          <w:i w:val="0"/>
          <w:sz w:val="17"/>
        </w:rPr>
        <w:t xml:space="preserve">•  </w:t>
      </w:r>
      <w:hyperlink r:id="rId17">
        <w:r>
          <w:rPr>
            <w:rFonts w:ascii="Arial" w:hAnsi="Arial" w:eastAsia="Arial"/>
            <w:b w:val="0"/>
            <w:i w:val="0"/>
            <w:color w:val="039BE5"/>
            <w:sz w:val="17"/>
            <w:u w:val="single"/>
          </w:rPr>
          <w:t>https://www.jpmorganchase.com/careers/grow-with-us</w:t>
        </w:r>
      </w:hyperlink>
    </w:p>
    <w:p>
      <w:pPr>
        <w:spacing w:before="0" w:after="40" w:line="240" w:lineRule="auto"/>
      </w:pPr>
      <w:r>
        <w:rPr>
          <w:rFonts w:ascii="Arial" w:hAnsi="Arial" w:eastAsia="Arial"/>
          <w:b/>
          <w:i w:val="0"/>
          <w:sz w:val="17"/>
        </w:rPr>
        <w:t>Recent news</w:t>
      </w:r>
    </w:p>
    <w:p>
      <w:pPr>
        <w:spacing w:before="0" w:after="20" w:line="240" w:lineRule="auto"/>
        <w:ind w:left="288" w:hanging="216"/>
      </w:pPr>
      <w:r>
        <w:rPr>
          <w:rFonts w:ascii="Arial" w:hAnsi="Arial" w:eastAsia="Arial"/>
          <w:b w:val="0"/>
          <w:i w:val="0"/>
          <w:sz w:val="17"/>
        </w:rPr>
        <w:t xml:space="preserve">•  </w:t>
      </w:r>
      <w:hyperlink r:id="rId18">
        <w:r>
          <w:rPr>
            <w:rFonts w:ascii="Arial" w:hAnsi="Arial" w:eastAsia="Arial"/>
            <w:b w:val="0"/>
            <w:i w:val="0"/>
            <w:color w:val="039BE5"/>
            <w:sz w:val="17"/>
            <w:u w:val="single"/>
          </w:rPr>
          <w:t>Project Glasswing: Securing critical software for the AI era</w:t>
        </w:r>
      </w:hyperlink>
      <w:r>
        <w:rPr>
          <w:rFonts w:ascii="Arial" w:hAnsi="Arial" w:eastAsia="Arial"/>
          <w:b w:val="0"/>
          <w:i w:val="0"/>
          <w:sz w:val="17"/>
        </w:rPr>
        <w:t xml:space="preserve"> (Anthropic, Tue, 07 Apr 2026)</w:t>
      </w:r>
    </w:p>
    <w:p>
      <w:pPr>
        <w:spacing w:before="0" w:after="20" w:line="240" w:lineRule="auto"/>
        <w:ind w:left="288" w:hanging="216"/>
      </w:pPr>
      <w:r>
        <w:rPr>
          <w:rFonts w:ascii="Arial" w:hAnsi="Arial" w:eastAsia="Arial"/>
          <w:b w:val="0"/>
          <w:i w:val="0"/>
          <w:sz w:val="17"/>
        </w:rPr>
        <w:t xml:space="preserve">•  </w:t>
      </w:r>
      <w:hyperlink r:id="rId19">
        <w:r>
          <w:rPr>
            <w:rFonts w:ascii="Arial" w:hAnsi="Arial" w:eastAsia="Arial"/>
            <w:b w:val="0"/>
            <w:i w:val="0"/>
            <w:color w:val="039BE5"/>
            <w:sz w:val="17"/>
            <w:u w:val="single"/>
          </w:rPr>
          <w:t>India Seeks Access to Anthropic’s Project Glasswing to Boost AI-Driven Cybersecurity Testing</w:t>
        </w:r>
      </w:hyperlink>
      <w:r>
        <w:rPr>
          <w:rFonts w:ascii="Arial" w:hAnsi="Arial" w:eastAsia="Arial"/>
          <w:b w:val="0"/>
          <w:i w:val="0"/>
          <w:sz w:val="17"/>
        </w:rPr>
        <w:t xml:space="preserve"> (Sarkaritel.com, Fri, 03 Jul 2026)</w:t>
      </w:r>
    </w:p>
    <w:p>
      <w:pPr>
        <w:spacing w:before="0" w:after="20" w:line="240" w:lineRule="auto"/>
        <w:ind w:left="288" w:hanging="216"/>
      </w:pPr>
      <w:r>
        <w:rPr>
          <w:rFonts w:ascii="Arial" w:hAnsi="Arial" w:eastAsia="Arial"/>
          <w:b w:val="0"/>
          <w:i w:val="0"/>
          <w:sz w:val="17"/>
        </w:rPr>
        <w:t xml:space="preserve">•  </w:t>
      </w:r>
      <w:hyperlink r:id="rId20">
        <w:r>
          <w:rPr>
            <w:rFonts w:ascii="Arial" w:hAnsi="Arial" w:eastAsia="Arial"/>
            <w:b w:val="0"/>
            <w:i w:val="0"/>
            <w:color w:val="039BE5"/>
            <w:sz w:val="17"/>
            <w:u w:val="single"/>
          </w:rPr>
          <w:t>Jamie Dimon Revealed 1 of the Biggest Risks to JPMorgan Chase, and This Stock Could Benefit</w:t>
        </w:r>
      </w:hyperlink>
      <w:r>
        <w:rPr>
          <w:rFonts w:ascii="Arial" w:hAnsi="Arial" w:eastAsia="Arial"/>
          <w:b w:val="0"/>
          <w:i w:val="0"/>
          <w:sz w:val="17"/>
        </w:rPr>
        <w:t xml:space="preserve"> (The Motley Fool, Sat, 10 Oct 2026)</w:t>
      </w:r>
    </w:p>
    <w:p>
      <w:pPr>
        <w:spacing w:before="0" w:after="20" w:line="240" w:lineRule="auto"/>
        <w:ind w:left="288" w:hanging="216"/>
      </w:pPr>
      <w:r>
        <w:rPr>
          <w:rFonts w:ascii="Arial" w:hAnsi="Arial" w:eastAsia="Arial"/>
          <w:b w:val="0"/>
          <w:i w:val="0"/>
          <w:sz w:val="17"/>
        </w:rPr>
        <w:t xml:space="preserve">•  </w:t>
      </w:r>
      <w:hyperlink r:id="rId21">
        <w:r>
          <w:rPr>
            <w:rFonts w:ascii="Arial" w:hAnsi="Arial" w:eastAsia="Arial"/>
            <w:b w:val="0"/>
            <w:i w:val="0"/>
            <w:color w:val="039BE5"/>
            <w:sz w:val="17"/>
            <w:u w:val="single"/>
          </w:rPr>
          <w:t>Anthropic is giving some firms early access to Claude Mythos to bolster cybersecurity defenses</w:t>
        </w:r>
      </w:hyperlink>
      <w:r>
        <w:rPr>
          <w:rFonts w:ascii="Arial" w:hAnsi="Arial" w:eastAsia="Arial"/>
          <w:b w:val="0"/>
          <w:i w:val="0"/>
          <w:sz w:val="17"/>
        </w:rPr>
        <w:t xml:space="preserve"> (Fortune, Tue, 07 Apr 2026)</w:t>
      </w:r>
    </w:p>
    <w:p>
      <w:pPr>
        <w:spacing w:before="0" w:after="20" w:line="240" w:lineRule="auto"/>
        <w:ind w:left="288" w:hanging="216"/>
      </w:pPr>
      <w:r>
        <w:rPr>
          <w:rFonts w:ascii="Arial" w:hAnsi="Arial" w:eastAsia="Arial"/>
          <w:b w:val="0"/>
          <w:i w:val="0"/>
          <w:sz w:val="17"/>
        </w:rPr>
        <w:t xml:space="preserve">•  </w:t>
      </w:r>
      <w:hyperlink r:id="rId22">
        <w:r>
          <w:rPr>
            <w:rFonts w:ascii="Arial" w:hAnsi="Arial" w:eastAsia="Arial"/>
            <w:b w:val="0"/>
            <w:i w:val="0"/>
            <w:color w:val="039BE5"/>
            <w:sz w:val="17"/>
            <w:u w:val="single"/>
          </w:rPr>
          <w:t>Anthropic's New Model, Mythos, Is So Dangerous It Isn't Being Released to the Public</w:t>
        </w:r>
      </w:hyperlink>
      <w:r>
        <w:rPr>
          <w:rFonts w:ascii="Arial" w:hAnsi="Arial" w:eastAsia="Arial"/>
          <w:b w:val="0"/>
          <w:i w:val="0"/>
          <w:sz w:val="17"/>
        </w:rPr>
        <w:t xml:space="preserve"> (SFist, Wed, 15 Apr 2026)</w:t>
      </w:r>
    </w:p>
    <w:sectPr>
      <w:headerReference r:id="rId7" w:type="default"/>
      <w:headerReference r:id="rId8" w:type="first"/>
      <w:footerReference r:id="rId9" w:type="default"/>
      <w:footerReference r:id="rId10" w:type="first"/>
      <w:headerReference w:type="even" r:id="rId11"/>
      <w:pgSz w:h="15840" w:w="12240" w:orient="portrait"/>
      <w:pgMar w:bottom="864" w:top="1440" w:left="1152" w:right="1152"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2" name="image6.png"/>
          <a:graphic>
            <a:graphicData uri="http://schemas.openxmlformats.org/drawingml/2006/picture">
              <pic:pic>
                <pic:nvPicPr>
                  <pic:cNvPr descr="footer" id="0" name="image6.png"/>
                  <pic:cNvPicPr preferRelativeResize="0"/>
                </pic:nvPicPr>
                <pic:blipFill>
                  <a:blip r:embed="rId1"/>
                  <a:srcRect b="1037" l="0" r="0" t="1037"/>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1" name="image5.png"/>
          <a:graphic>
            <a:graphicData uri="http://schemas.openxmlformats.org/drawingml/2006/picture">
              <pic:pic>
                <pic:nvPicPr>
                  <pic:cNvPr descr="footer" id="0" name="image5.png"/>
                  <pic:cNvPicPr preferRelativeResize="0"/>
                </pic:nvPicPr>
                <pic:blipFill>
                  <a:blip r:embed="rId1"/>
                  <a:srcRect b="1037" l="0" r="0" t="1037"/>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317500</wp:posOffset>
          </wp:positionV>
          <wp:extent cx="1984248" cy="283464"/>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84248" cy="283464"/>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4"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3"/>
                  <a:srcRect b="3029" l="0" r="0" t="3029"/>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inline distB="0" distT="0" distL="0" distR="0">
          <wp:extent cx="448056" cy="54864"/>
          <wp:effectExtent b="0" l="0" r="0" t="0"/>
          <wp:docPr descr="footer" id="6" name="image6.png"/>
          <a:graphic>
            <a:graphicData uri="http://schemas.openxmlformats.org/drawingml/2006/picture">
              <pic:pic>
                <pic:nvPicPr>
                  <pic:cNvPr descr="footer" id="0" name="image6.png"/>
                  <pic:cNvPicPr preferRelativeResize="0"/>
                </pic:nvPicPr>
                <pic:blipFill>
                  <a:blip r:embed="rId4"/>
                  <a:srcRect b="1037" l="0" r="0" t="1037"/>
                  <a:stretch>
                    <a:fillRect/>
                  </a:stretch>
                </pic:blipFill>
                <pic:spPr>
                  <a:xfrm>
                    <a:off x="0" y="0"/>
                    <a:ext cx="448056" cy="54864"/>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spacing w:before="0" w:line="276" w:lineRule="auto"/>
      <w:ind w:left="-720" w:firstLine="0"/>
      <w:rPr>
        <w:rFonts w:ascii="Arial" w:cs="Arial" w:eastAsia="Arial" w:hAnsi="Arial"/>
      </w:rPr>
    </w:pPr>
    <w:r w:rsidDel="00000000" w:rsidR="00000000" w:rsidRPr="00000000">
      <w:rPr>
        <w:rFonts w:ascii="Arial" w:cs="Arial" w:eastAsia="Arial" w:hAnsi="Arial"/>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253365</wp:posOffset>
          </wp:positionV>
          <wp:extent cx="1984248" cy="28346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84248" cy="283464"/>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3.png"/>
          <a:graphic>
            <a:graphicData uri="http://schemas.openxmlformats.org/drawingml/2006/picture">
              <pic:pic>
                <pic:nvPicPr>
                  <pic:cNvPr descr="horizontal line" id="0" name="image3.png"/>
                  <pic:cNvPicPr preferRelativeResize="0"/>
                </pic:nvPicPr>
                <pic:blipFill>
                  <a:blip r:embed="rId2"/>
                  <a:srcRect b="3029" l="0" r="0" t="3029"/>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15">
    <w:pPr>
      <w:spacing w:before="0" w:line="276" w:lineRule="auto"/>
      <w:ind w:left="720" w:firstLine="720"/>
      <w:jc w:val="right"/>
      <w:rPr/>
    </w:pPr>
    <w:r w:rsidDel="00000000" w:rsidR="00000000" w:rsidRPr="00000000">
      <w:rPr>
        <w:rFonts w:ascii="Arial" w:cs="Arial" w:eastAsia="Arial" w:hAnsi="Arial"/>
        <w:b w:val="1"/>
        <w:bCs w:val="1"/>
        <w:color w:val="ff0000"/>
        <w:sz w:val="26"/>
        <w:szCs w:val="26"/>
        <w:rtl w:val="0"/>
      </w:rPr>
      <w:t xml:space="preserve"> </w:t>
    </w:r>
    <w:r w:rsidDel="00000000" w:rsidR="00000000" w:rsidRPr="00000000">
      <w:rPr>
        <w:rFonts w:ascii="Arial" w:cs="Arial" w:eastAsia="Arial" w:hAnsi="Arial"/>
        <w:b w:val="1"/>
        <w:bCs w:val="1"/>
        <w:i w:val="1"/>
        <w:iCs w:val="1"/>
        <w:color w:val="ff0000"/>
        <w:sz w:val="24"/>
        <w:szCs w:val="24"/>
        <w:rtl w:val="0"/>
      </w:rPr>
      <w:t xml:space="preserve"/>
    </w:r>
    <w:r w:rsidDel="00000000" w:rsidR="00000000" w:rsidRPr="00000000">
      <w:rPr>
        <w:rFonts w:ascii="Arial" w:cs="Arial" w:eastAsia="Arial" w:hAnsi="Arial"/>
        <w:i w:val="1"/>
        <w:iCs w:val="1"/>
        <w:color w:val="ff0000"/>
        <w:sz w:val="24"/>
        <w:szCs w:val="24"/>
        <w:rtl w:val="0"/>
      </w:rPr>
      <w:t xml:space="preserve"/>
    </w:r>
    <w:r w:rsidDel="00000000" w:rsidR="00000000" w:rsidRPr="00000000">
      <w:rPr>
        <w:rtl w:val="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440" w:line="240" w:lineRule="auto"/>
    </w:pPr>
    <w:rPr>
      <w:rFonts w:ascii="Helvetica Neue" w:cs="Helvetica Neue" w:eastAsia="Helvetica Neue" w:hAnsi="Helvetica Neue"/>
      <w:color w:val="611940"/>
      <w:sz w:val="72"/>
      <w:szCs w:val="72"/>
    </w:rPr>
  </w:style>
  <w:style w:type="paragraph" w:styleId="Heading2">
    <w:name w:val="heading 2"/>
    <w:basedOn w:val="Normal"/>
    <w:next w:val="Normal"/>
    <w:pPr>
      <w:keepNext w:val="1"/>
      <w:keepLines w:val="1"/>
      <w:spacing w:before="480" w:lineRule="auto"/>
    </w:pPr>
    <w:rPr>
      <w:rFonts w:ascii="Arial" w:cs="Arial" w:eastAsia="Arial" w:hAnsi="Arial"/>
      <w:b w:val="1"/>
      <w:bCs w:val="1"/>
      <w:color w:val="611940"/>
      <w:sz w:val="36"/>
      <w:szCs w:val="36"/>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header" Target="header3.xml"/><Relationship Id="rId12" Type="http://schemas.openxmlformats.org/officeDocument/2006/relationships/hyperlink" Target="https://www.jpmorganchase.com" TargetMode="External"/><Relationship Id="rId13" Type="http://schemas.openxmlformats.org/officeDocument/2006/relationships/hyperlink" Target="https://www.jpmorganchase.com/about/leadership" TargetMode="External"/><Relationship Id="rId14" Type="http://schemas.openxmlformats.org/officeDocument/2006/relationships/hyperlink" Target="https://www.jpmorganchase.com/newsroom/from-the-desk-of" TargetMode="External"/><Relationship Id="rId15" Type="http://schemas.openxmlformats.org/officeDocument/2006/relationships/hyperlink" Target="https://www.jpmorganchase.com/careers" TargetMode="External"/><Relationship Id="rId16" Type="http://schemas.openxmlformats.org/officeDocument/2006/relationships/hyperlink" Target="https://www.jpmorganchase.com/careers/work-with-us" TargetMode="External"/><Relationship Id="rId17" Type="http://schemas.openxmlformats.org/officeDocument/2006/relationships/hyperlink" Target="https://www.jpmorganchase.com/careers/grow-with-us" TargetMode="External"/><Relationship Id="rId18" Type="http://schemas.openxmlformats.org/officeDocument/2006/relationships/hyperlink" Target="https://news.google.com/rss/articles/CBMiS0FVX3lxTFBfQUdtMDZYaEtZV0JMSk1ZSzdqTl9mV3dQTnZYcVEzaHo4cV8yUEl2a25QMWRXenFTYUQ3NF9WakR5WXVwaDRTZC1ZYw?oc=5" TargetMode="External"/><Relationship Id="rId19" Type="http://schemas.openxmlformats.org/officeDocument/2006/relationships/hyperlink" Target="https://news.google.com/rss/articles/CBMihAFBVV95cUxQeXZLYks0UXRHWXJRdVRLaU9yZWxxaDF6Y2NNWGpJQnViZkdoVGZ5U2RSWVBZWDJ3aXZsMDhQRmhHTW5FQjczZzk2LTg2OF93ZTFaVENtV1FSbk44Z2dTX1NlN01EYzh3RWtHY25tSHBFSXRUMG0yX1B2c0JxS3NEdEx6aHU?oc=5" TargetMode="External"/><Relationship Id="rId20" Type="http://schemas.openxmlformats.org/officeDocument/2006/relationships/hyperlink" Target="https://news.google.com/rss/articles/CBMimAFBVV95cUxPYktLYm9iMXJGQlBmazE4SnJlVXE4bjlfaFNEY1R4TkZCTW94cklzLTRPSVdpdlpzbDZncmpLa0hEQURCTTZ3RklXcVBHMzI0ZDdUamhmVnJtT0FabWMwOGFwUUhaTXB3bzRjWk9kVVozdy15Y1Q4bHBtdlZtSlhfTWRLRTdQTFFPNzNocGVzbmQyZm5sa2JQZA?oc=5" TargetMode="External"/><Relationship Id="rId21" Type="http://schemas.openxmlformats.org/officeDocument/2006/relationships/hyperlink" Target="https://news.google.com/rss/articles/CBMimAFBVV95cUxPX3hScE9kOG4xU0pEWVBLTXd2YjlNWnZ2U0JmVXhsTHR5b1FaQVl3Z0h4WGViU3lVLWdsa280WWtGNEE1OFV1TDNDWWFXMlc1UDFVSjN2Qk8tT1dpRG5GRlpHUXdpR3QxV2hYcTdXTGFwNVNvMVJXekZnVWtLNTczLVlESlEyYjBUZE5TSEhiRWFaS2VHcm5pSw?oc=5" TargetMode="External"/><Relationship Id="rId22" Type="http://schemas.openxmlformats.org/officeDocument/2006/relationships/hyperlink" Target="https://news.google.com/rss/articles/CBMirwFBVV95cUxPOEtUbTZpYWtEb1NHQ3hmTFU1blI0LWJrd3BnNld2RGF3cXAzOHFCQXgxd3hhSUM1ekhkQ0drMFl2OVNJMXlCX19oMnNkR2duZFcyWVdvbVpMc2NDbjNhN0pDUTg2Mk1mVTZDUTllWk9kaFBNdk1nZWw4YnRud2k3MHFhSnFvY0VaMEJDOHN2ZVF1d0tqWk8xSXNPRGJFeTdRdlFzWVRLLXpwMG9yRDdz?oc=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