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40" w:line="240" w:lineRule="auto"/>
      </w:pPr>
      <w:r>
        <w:rPr>
          <w:rFonts w:ascii="Arial" w:hAnsi="Arial" w:eastAsia="Arial"/>
          <w:b w:val="0"/>
          <w:i w:val="0"/>
          <w:sz w:val="40"/>
        </w:rPr>
        <w:t>Account Brief: jpmorganchase.com</w:t>
      </w:r>
    </w:p>
    <w:p>
      <w:pPr>
        <w:spacing w:before="0" w:after="80" w:line="240" w:lineRule="auto"/>
      </w:pPr>
      <w:r>
        <w:rPr>
          <w:rFonts w:ascii="Arial" w:hAnsi="Arial" w:eastAsia="Arial"/>
          <w:b w:val="0"/>
          <w:i/>
          <w:sz w:val="17"/>
        </w:rPr>
        <w:t>Product: SentinelShield    |   Prepared 10/16/2026   |   Nirmala Sendilkumar</w:t>
      </w:r>
    </w:p>
    <w:p>
      <w:pPr>
        <w:pStyle w:val="Heading2"/>
        <w:spacing w:before="100" w:after="20" w:line="240" w:lineRule="auto"/>
      </w:pPr>
      <w:r>
        <w:rPr>
          <w:rFonts w:ascii="Arial" w:hAnsi="Arial" w:eastAsia="Arial"/>
          <w:b w:val="0"/>
          <w:i w:val="0"/>
          <w:sz w:val="22"/>
        </w:rPr>
        <w:t>Company Strategy</w:t>
      </w:r>
    </w:p>
    <w:p>
      <w:pPr>
        <w:spacing w:before="0" w:after="40" w:line="240" w:lineRule="auto"/>
      </w:pPr>
      <w:r>
        <w:rPr>
          <w:rFonts w:ascii="Arial" w:hAnsi="Arial" w:eastAsia="Arial"/>
          <w:b w:val="0"/>
          <w:i w:val="0"/>
          <w:sz w:val="17"/>
        </w:rPr>
        <w:t xml:space="preserve">JPMorgan Chase focuses on long-term growth, client service, and extensive technological investment across more than 100 global markets. The firm emphasizes scaling its technical capabilities, employing approximately 65,000 global technologists and supporting technology hubs like the one in Plano, Texas. The company also engages in testing advanced technological models, as evidenced by its participation in AI model testing reported by </w:t>
      </w:r>
      <w:r>
        <w:rPr>
          <w:rFonts w:ascii="Arial" w:hAnsi="Arial" w:eastAsia="Arial"/>
          <w:b w:val="0"/>
          <w:i/>
          <w:sz w:val="17"/>
        </w:rPr>
        <w:t>The Times of India</w:t>
      </w:r>
      <w:r>
        <w:rPr>
          <w:rFonts w:ascii="Arial" w:hAnsi="Arial" w:eastAsia="Arial"/>
          <w:b w:val="0"/>
          <w:i w:val="0"/>
          <w:sz w:val="17"/>
        </w:rPr>
        <w:t xml:space="preserve"> (April 9, 2026). Furthermore, leadership consistently focuses on firm-wide risk, with CEO Jamie Dimon highlighting primary organizational risks (</w:t>
      </w:r>
      <w:r>
        <w:rPr>
          <w:rFonts w:ascii="Arial" w:hAnsi="Arial" w:eastAsia="Arial"/>
          <w:b w:val="0"/>
          <w:i/>
          <w:sz w:val="17"/>
        </w:rPr>
        <w:t>The Motley Fool</w:t>
      </w:r>
      <w:r>
        <w:rPr>
          <w:rFonts w:ascii="Arial" w:hAnsi="Arial" w:eastAsia="Arial"/>
          <w:b w:val="0"/>
          <w:i w:val="0"/>
          <w:sz w:val="17"/>
        </w:rPr>
        <w:t>, October 10, 2026).</w:t>
      </w:r>
    </w:p>
    <w:p>
      <w:pPr>
        <w:pStyle w:val="Heading2"/>
        <w:spacing w:before="100" w:after="20" w:line="240" w:lineRule="auto"/>
      </w:pPr>
      <w:r>
        <w:rPr>
          <w:rFonts w:ascii="Arial" w:hAnsi="Arial" w:eastAsia="Arial"/>
          <w:b w:val="0"/>
          <w:i w:val="0"/>
          <w:sz w:val="22"/>
        </w:rPr>
        <w:t>Competitor Mentions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CrowdStrike: 0 mentions found in provided sources.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Palo Alto Networks: 0 mentions found in provided sources.</w:t>
      </w:r>
    </w:p>
    <w:p>
      <w:pPr>
        <w:pStyle w:val="Heading2"/>
        <w:spacing w:before="100" w:after="20" w:line="240" w:lineRule="auto"/>
      </w:pPr>
      <w:r>
        <w:rPr>
          <w:rFonts w:ascii="Arial" w:hAnsi="Arial" w:eastAsia="Arial"/>
          <w:b w:val="0"/>
          <w:i w:val="0"/>
          <w:sz w:val="22"/>
        </w:rPr>
        <w:t>Leadership Information</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Chairman and Chief Executive Officer:</w:t>
      </w:r>
      <w:r>
        <w:rPr>
          <w:rFonts w:ascii="Arial" w:hAnsi="Arial" w:eastAsia="Arial"/>
          <w:b w:val="0"/>
          <w:i w:val="0"/>
          <w:sz w:val="17"/>
        </w:rPr>
        <w:t xml:space="preserve"> Jamie Dimon</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Global Chief Information Officer:</w:t>
      </w:r>
      <w:r>
        <w:rPr>
          <w:rFonts w:ascii="Arial" w:hAnsi="Arial" w:eastAsia="Arial"/>
          <w:b w:val="0"/>
          <w:i w:val="0"/>
          <w:sz w:val="17"/>
        </w:rPr>
        <w:t xml:space="preserve"> Lori Beer</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Chief Risk Officer:</w:t>
      </w:r>
      <w:r>
        <w:rPr>
          <w:rFonts w:ascii="Arial" w:hAnsi="Arial" w:eastAsia="Arial"/>
          <w:b w:val="0"/>
          <w:i w:val="0"/>
          <w:sz w:val="17"/>
        </w:rPr>
        <w:t xml:space="preserve"> Ashley Bacon</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Chief Operating Officer:</w:t>
      </w:r>
      <w:r>
        <w:rPr>
          <w:rFonts w:ascii="Arial" w:hAnsi="Arial" w:eastAsia="Arial"/>
          <w:b w:val="0"/>
          <w:i w:val="0"/>
          <w:sz w:val="17"/>
        </w:rPr>
        <w:t xml:space="preserve"> Jennifer Piepszak</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Chief Financial Officer:</w:t>
      </w:r>
      <w:r>
        <w:rPr>
          <w:rFonts w:ascii="Arial" w:hAnsi="Arial" w:eastAsia="Arial"/>
          <w:b w:val="0"/>
          <w:i w:val="0"/>
          <w:sz w:val="17"/>
        </w:rPr>
        <w:t xml:space="preserve"> Jeremy Barnum</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Chief Audit Executive:</w:t>
      </w:r>
      <w:r>
        <w:rPr>
          <w:rFonts w:ascii="Arial" w:hAnsi="Arial" w:eastAsia="Arial"/>
          <w:b w:val="0"/>
          <w:i w:val="0"/>
          <w:sz w:val="17"/>
        </w:rPr>
        <w:t xml:space="preserve"> Lou Rauchenberger</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sz w:val="17"/>
        </w:rPr>
        <w:t>Note:</w:t>
      </w:r>
      <w:r>
        <w:rPr>
          <w:rFonts w:ascii="Arial" w:hAnsi="Arial" w:eastAsia="Arial"/>
          <w:b w:val="0"/>
          <w:i w:val="0"/>
          <w:sz w:val="17"/>
        </w:rPr>
        <w:t xml:space="preserve"> A specific Chief Information Security Officer (CISO) is not explicitly named in the provided sources.</w:t>
      </w:r>
    </w:p>
    <w:p>
      <w:pPr>
        <w:pStyle w:val="Heading2"/>
        <w:spacing w:before="100" w:after="20" w:line="240" w:lineRule="auto"/>
      </w:pPr>
      <w:r>
        <w:rPr>
          <w:rFonts w:ascii="Arial" w:hAnsi="Arial" w:eastAsia="Arial"/>
          <w:b w:val="0"/>
          <w:i w:val="0"/>
          <w:sz w:val="22"/>
        </w:rPr>
        <w:t>Product/Strategy Summary</w:t>
      </w:r>
    </w:p>
    <w:p>
      <w:pPr>
        <w:spacing w:before="0" w:after="40" w:line="240" w:lineRule="auto"/>
      </w:pPr>
      <w:r>
        <w:rPr>
          <w:rFonts w:ascii="Arial" w:hAnsi="Arial" w:eastAsia="Arial"/>
          <w:b w:val="0"/>
          <w:i w:val="0"/>
          <w:sz w:val="17"/>
        </w:rPr>
        <w:t>JPMorgan Chase operates on an immense global scale with over 318,000 employees and tens of thousands of technologists. Safeguarding such an extensive footprint requires robust risk mitigation and infrastructure defense. SentinelShield delivers real-time cyber threat detection and rapid automated response, providing the critical protection and reduced response times necessary to protect tier-one financial institutions against complex breaches across worldwide operations.</w:t>
      </w:r>
    </w:p>
    <w:p>
      <w:pPr>
        <w:pStyle w:val="Heading2"/>
        <w:spacing w:before="100" w:after="20" w:line="240" w:lineRule="auto"/>
      </w:pPr>
      <w:r>
        <w:rPr>
          <w:rFonts w:ascii="Arial" w:hAnsi="Arial" w:eastAsia="Arial"/>
          <w:b w:val="0"/>
          <w:i w:val="0"/>
          <w:sz w:val="22"/>
        </w:rPr>
        <w:t>Talking Points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With roughly 65,000 technologists working across your enterprise, SentinelShield can provide your security teams with real-time threat detection and mitigation to secure developer environments without slowing innovation.</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Because JPMorgan Chase operates across more than 100 global markets, SentinelShield’s real-time detection platform can reduce breach risks and accelerate incident response times across your entire international footprint.</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 xml:space="preserve">As your firm actively tests cutting-edge technologies (noted by </w:t>
      </w:r>
      <w:r>
        <w:rPr>
          <w:rFonts w:ascii="Arial" w:hAnsi="Arial" w:eastAsia="Arial"/>
          <w:b w:val="0"/>
          <w:i/>
          <w:sz w:val="17"/>
        </w:rPr>
        <w:t>The Times of India</w:t>
      </w:r>
      <w:r>
        <w:rPr>
          <w:rFonts w:ascii="Arial" w:hAnsi="Arial" w:eastAsia="Arial"/>
          <w:b w:val="0"/>
          <w:i w:val="0"/>
          <w:sz w:val="17"/>
        </w:rPr>
        <w:t xml:space="preserve"> on April 9, 2026), SentinelShield can help you defend complex financial architectures by neutralizing emerging threats before they impact critical systems.</w:t>
      </w:r>
    </w:p>
    <w:p>
      <w:pPr>
        <w:pStyle w:val="Heading2"/>
        <w:spacing w:before="100" w:after="20" w:line="240" w:lineRule="auto"/>
      </w:pPr>
      <w:r>
        <w:rPr>
          <w:rFonts w:ascii="Arial" w:hAnsi="Arial" w:eastAsia="Arial"/>
          <w:b w:val="0"/>
          <w:i w:val="0"/>
          <w:sz w:val="22"/>
        </w:rPr>
        <w:t>Article Links</w:t>
      </w:r>
    </w:p>
    <w:p>
      <w:pPr>
        <w:spacing w:before="0" w:after="40" w:line="240" w:lineRule="auto"/>
      </w:pPr>
      <w:r>
        <w:rPr>
          <w:rFonts w:ascii="Arial" w:hAnsi="Arial" w:eastAsia="Arial"/>
          <w:b/>
          <w:i w:val="0"/>
          <w:sz w:val="17"/>
        </w:rPr>
        <w:t>Company pages</w:t>
      </w:r>
    </w:p>
    <w:p>
      <w:pPr>
        <w:spacing w:before="0" w:after="20" w:line="240" w:lineRule="auto"/>
        <w:ind w:left="288" w:hanging="216"/>
      </w:pPr>
      <w:r>
        <w:rPr>
          <w:rFonts w:ascii="Arial" w:hAnsi="Arial" w:eastAsia="Arial"/>
          <w:b w:val="0"/>
          <w:i w:val="0"/>
          <w:sz w:val="17"/>
        </w:rPr>
        <w:t xml:space="preserve">•  </w:t>
      </w:r>
      <w:hyperlink r:id="rId12">
        <w:r>
          <w:rPr>
            <w:rFonts w:ascii="Arial" w:hAnsi="Arial" w:eastAsia="Arial"/>
            <w:b w:val="0"/>
            <w:i w:val="0"/>
            <w:color w:val="039BE5"/>
            <w:sz w:val="17"/>
            <w:u w:val="single"/>
          </w:rPr>
          <w:t>https://www.jpmorganchase.com</w:t>
        </w:r>
      </w:hyperlink>
    </w:p>
    <w:p>
      <w:pPr>
        <w:spacing w:before="0" w:after="20" w:line="240" w:lineRule="auto"/>
        <w:ind w:left="288" w:hanging="216"/>
      </w:pPr>
      <w:r>
        <w:rPr>
          <w:rFonts w:ascii="Arial" w:hAnsi="Arial" w:eastAsia="Arial"/>
          <w:b w:val="0"/>
          <w:i w:val="0"/>
          <w:sz w:val="17"/>
        </w:rPr>
        <w:t xml:space="preserve">•  </w:t>
      </w:r>
      <w:hyperlink r:id="rId13">
        <w:r>
          <w:rPr>
            <w:rFonts w:ascii="Arial" w:hAnsi="Arial" w:eastAsia="Arial"/>
            <w:b w:val="0"/>
            <w:i w:val="0"/>
            <w:color w:val="039BE5"/>
            <w:sz w:val="17"/>
            <w:u w:val="single"/>
          </w:rPr>
          <w:t>https://www.jpmorganchase.com/about/leadership</w:t>
        </w:r>
      </w:hyperlink>
    </w:p>
    <w:p>
      <w:pPr>
        <w:spacing w:before="0" w:after="20" w:line="240" w:lineRule="auto"/>
        <w:ind w:left="288" w:hanging="216"/>
      </w:pPr>
      <w:r>
        <w:rPr>
          <w:rFonts w:ascii="Arial" w:hAnsi="Arial" w:eastAsia="Arial"/>
          <w:b w:val="0"/>
          <w:i w:val="0"/>
          <w:sz w:val="17"/>
        </w:rPr>
        <w:t xml:space="preserve">•  </w:t>
      </w:r>
      <w:hyperlink r:id="rId14">
        <w:r>
          <w:rPr>
            <w:rFonts w:ascii="Arial" w:hAnsi="Arial" w:eastAsia="Arial"/>
            <w:b w:val="0"/>
            <w:i w:val="0"/>
            <w:color w:val="039BE5"/>
            <w:sz w:val="17"/>
            <w:u w:val="single"/>
          </w:rPr>
          <w:t>https://www.jpmorganchase.com/newsroom/from-the-desk-of</w:t>
        </w:r>
      </w:hyperlink>
    </w:p>
    <w:p>
      <w:pPr>
        <w:spacing w:before="0" w:after="20" w:line="240" w:lineRule="auto"/>
        <w:ind w:left="288" w:hanging="216"/>
      </w:pPr>
      <w:r>
        <w:rPr>
          <w:rFonts w:ascii="Arial" w:hAnsi="Arial" w:eastAsia="Arial"/>
          <w:b w:val="0"/>
          <w:i w:val="0"/>
          <w:sz w:val="17"/>
        </w:rPr>
        <w:t xml:space="preserve">•  </w:t>
      </w:r>
      <w:hyperlink r:id="rId15">
        <w:r>
          <w:rPr>
            <w:rFonts w:ascii="Arial" w:hAnsi="Arial" w:eastAsia="Arial"/>
            <w:b w:val="0"/>
            <w:i w:val="0"/>
            <w:color w:val="039BE5"/>
            <w:sz w:val="17"/>
            <w:u w:val="single"/>
          </w:rPr>
          <w:t>https://www.jpmorganchase.com/careers</w:t>
        </w:r>
      </w:hyperlink>
    </w:p>
    <w:p>
      <w:pPr>
        <w:spacing w:before="0" w:after="20" w:line="240" w:lineRule="auto"/>
        <w:ind w:left="288" w:hanging="216"/>
      </w:pPr>
      <w:r>
        <w:rPr>
          <w:rFonts w:ascii="Arial" w:hAnsi="Arial" w:eastAsia="Arial"/>
          <w:b w:val="0"/>
          <w:i w:val="0"/>
          <w:sz w:val="17"/>
        </w:rPr>
        <w:t xml:space="preserve">•  </w:t>
      </w:r>
      <w:hyperlink r:id="rId16">
        <w:r>
          <w:rPr>
            <w:rFonts w:ascii="Arial" w:hAnsi="Arial" w:eastAsia="Arial"/>
            <w:b w:val="0"/>
            <w:i w:val="0"/>
            <w:color w:val="039BE5"/>
            <w:sz w:val="17"/>
            <w:u w:val="single"/>
          </w:rPr>
          <w:t>https://www.jpmorganchase.com/careers/work-with-us</w:t>
        </w:r>
      </w:hyperlink>
    </w:p>
    <w:p>
      <w:pPr>
        <w:spacing w:before="0" w:after="20" w:line="240" w:lineRule="auto"/>
        <w:ind w:left="288" w:hanging="216"/>
      </w:pPr>
      <w:r>
        <w:rPr>
          <w:rFonts w:ascii="Arial" w:hAnsi="Arial" w:eastAsia="Arial"/>
          <w:b w:val="0"/>
          <w:i w:val="0"/>
          <w:sz w:val="17"/>
        </w:rPr>
        <w:t xml:space="preserve">•  </w:t>
      </w:r>
      <w:hyperlink r:id="rId17">
        <w:r>
          <w:rPr>
            <w:rFonts w:ascii="Arial" w:hAnsi="Arial" w:eastAsia="Arial"/>
            <w:b w:val="0"/>
            <w:i w:val="0"/>
            <w:color w:val="039BE5"/>
            <w:sz w:val="17"/>
            <w:u w:val="single"/>
          </w:rPr>
          <w:t>https://www.jpmorganchase.com/careers/grow-with-us</w:t>
        </w:r>
      </w:hyperlink>
    </w:p>
    <w:p>
      <w:pPr>
        <w:spacing w:before="0" w:after="40" w:line="240" w:lineRule="auto"/>
      </w:pPr>
      <w:r>
        <w:rPr>
          <w:rFonts w:ascii="Arial" w:hAnsi="Arial" w:eastAsia="Arial"/>
          <w:b/>
          <w:i w:val="0"/>
          <w:sz w:val="17"/>
        </w:rPr>
        <w:t>Recent news</w:t>
      </w:r>
    </w:p>
    <w:p>
      <w:pPr>
        <w:spacing w:before="0" w:after="20" w:line="240" w:lineRule="auto"/>
        <w:ind w:left="288" w:hanging="216"/>
      </w:pPr>
      <w:r>
        <w:rPr>
          <w:rFonts w:ascii="Arial" w:hAnsi="Arial" w:eastAsia="Arial"/>
          <w:b w:val="0"/>
          <w:i w:val="0"/>
          <w:sz w:val="17"/>
        </w:rPr>
        <w:t xml:space="preserve">•  </w:t>
      </w:r>
      <w:hyperlink r:id="rId18">
        <w:r>
          <w:rPr>
            <w:rFonts w:ascii="Arial" w:hAnsi="Arial" w:eastAsia="Arial"/>
            <w:b w:val="0"/>
            <w:i w:val="0"/>
            <w:color w:val="039BE5"/>
            <w:sz w:val="17"/>
            <w:u w:val="single"/>
          </w:rPr>
          <w:t>Project Glasswing: Securing critical software for the AI era</w:t>
        </w:r>
      </w:hyperlink>
      <w:r>
        <w:rPr>
          <w:rFonts w:ascii="Arial" w:hAnsi="Arial" w:eastAsia="Arial"/>
          <w:b w:val="0"/>
          <w:i w:val="0"/>
          <w:sz w:val="17"/>
        </w:rPr>
        <w:t xml:space="preserve"> (Anthropic, Tue, 07 Apr 2026)</w:t>
      </w:r>
    </w:p>
    <w:p>
      <w:pPr>
        <w:spacing w:before="0" w:after="20" w:line="240" w:lineRule="auto"/>
        <w:ind w:left="288" w:hanging="216"/>
      </w:pPr>
      <w:r>
        <w:rPr>
          <w:rFonts w:ascii="Arial" w:hAnsi="Arial" w:eastAsia="Arial"/>
          <w:b w:val="0"/>
          <w:i w:val="0"/>
          <w:sz w:val="17"/>
        </w:rPr>
        <w:t xml:space="preserve">•  </w:t>
      </w:r>
      <w:hyperlink r:id="rId19">
        <w:r>
          <w:rPr>
            <w:rFonts w:ascii="Arial" w:hAnsi="Arial" w:eastAsia="Arial"/>
            <w:b w:val="0"/>
            <w:i w:val="0"/>
            <w:color w:val="039BE5"/>
            <w:sz w:val="17"/>
            <w:u w:val="single"/>
          </w:rPr>
          <w:t>India Seeks Access to Anthropic’s Project Glasswing to Boost AI-Driven Cybersecurity Testing</w:t>
        </w:r>
      </w:hyperlink>
      <w:r>
        <w:rPr>
          <w:rFonts w:ascii="Arial" w:hAnsi="Arial" w:eastAsia="Arial"/>
          <w:b w:val="0"/>
          <w:i w:val="0"/>
          <w:sz w:val="17"/>
        </w:rPr>
        <w:t xml:space="preserve"> (Sarkaritel.com, Fri, 03 Jul 2026)</w:t>
      </w:r>
    </w:p>
    <w:p>
      <w:pPr>
        <w:spacing w:before="0" w:after="20" w:line="240" w:lineRule="auto"/>
        <w:ind w:left="288" w:hanging="216"/>
      </w:pPr>
      <w:r>
        <w:rPr>
          <w:rFonts w:ascii="Arial" w:hAnsi="Arial" w:eastAsia="Arial"/>
          <w:b w:val="0"/>
          <w:i w:val="0"/>
          <w:sz w:val="17"/>
        </w:rPr>
        <w:t xml:space="preserve">•  </w:t>
      </w:r>
      <w:hyperlink r:id="rId20">
        <w:r>
          <w:rPr>
            <w:rFonts w:ascii="Arial" w:hAnsi="Arial" w:eastAsia="Arial"/>
            <w:b w:val="0"/>
            <w:i w:val="0"/>
            <w:color w:val="039BE5"/>
            <w:sz w:val="17"/>
            <w:u w:val="single"/>
          </w:rPr>
          <w:t>Jamie Dimon Revealed 1 of the Biggest Risks to JPMorgan Chase, and This Stock Could Benefit</w:t>
        </w:r>
      </w:hyperlink>
      <w:r>
        <w:rPr>
          <w:rFonts w:ascii="Arial" w:hAnsi="Arial" w:eastAsia="Arial"/>
          <w:b w:val="0"/>
          <w:i w:val="0"/>
          <w:sz w:val="17"/>
        </w:rPr>
        <w:t xml:space="preserve"> (The Motley Fool, Sat, 10 Oct 2026)</w:t>
      </w:r>
    </w:p>
    <w:p>
      <w:pPr>
        <w:spacing w:before="0" w:after="20" w:line="240" w:lineRule="auto"/>
        <w:ind w:left="288" w:hanging="216"/>
      </w:pPr>
      <w:r>
        <w:rPr>
          <w:rFonts w:ascii="Arial" w:hAnsi="Arial" w:eastAsia="Arial"/>
          <w:b w:val="0"/>
          <w:i w:val="0"/>
          <w:sz w:val="17"/>
        </w:rPr>
        <w:t xml:space="preserve">•  </w:t>
      </w:r>
      <w:hyperlink r:id="rId21">
        <w:r>
          <w:rPr>
            <w:rFonts w:ascii="Arial" w:hAnsi="Arial" w:eastAsia="Arial"/>
            <w:b w:val="0"/>
            <w:i w:val="0"/>
            <w:color w:val="039BE5"/>
            <w:sz w:val="17"/>
            <w:u w:val="single"/>
          </w:rPr>
          <w:t>Anthropic is giving some firms early access to Claude Mythos to bolster cybersecurity defenses</w:t>
        </w:r>
      </w:hyperlink>
      <w:r>
        <w:rPr>
          <w:rFonts w:ascii="Arial" w:hAnsi="Arial" w:eastAsia="Arial"/>
          <w:b w:val="0"/>
          <w:i w:val="0"/>
          <w:sz w:val="17"/>
        </w:rPr>
        <w:t xml:space="preserve"> (Fortune, Tue, 07 Apr 2026)</w:t>
      </w:r>
    </w:p>
    <w:p>
      <w:pPr>
        <w:spacing w:before="0" w:after="20" w:line="240" w:lineRule="auto"/>
        <w:ind w:left="288" w:hanging="216"/>
      </w:pPr>
      <w:r>
        <w:rPr>
          <w:rFonts w:ascii="Arial" w:hAnsi="Arial" w:eastAsia="Arial"/>
          <w:b w:val="0"/>
          <w:i w:val="0"/>
          <w:sz w:val="17"/>
        </w:rPr>
        <w:t xml:space="preserve">•  </w:t>
      </w:r>
      <w:hyperlink r:id="rId22">
        <w:r>
          <w:rPr>
            <w:rFonts w:ascii="Arial" w:hAnsi="Arial" w:eastAsia="Arial"/>
            <w:b w:val="0"/>
            <w:i w:val="0"/>
            <w:color w:val="039BE5"/>
            <w:sz w:val="17"/>
            <w:u w:val="single"/>
          </w:rPr>
          <w:t>Anthropic's New Model, Mythos, Is So Dangerous It Isn't Being Released to the Public</w:t>
        </w:r>
      </w:hyperlink>
      <w:r>
        <w:rPr>
          <w:rFonts w:ascii="Arial" w:hAnsi="Arial" w:eastAsia="Arial"/>
          <w:b w:val="0"/>
          <w:i w:val="0"/>
          <w:sz w:val="17"/>
        </w:rPr>
        <w:t xml:space="preserve"> (SFist, Wed, 15 Apr 2026)</w:t>
      </w:r>
    </w:p>
    <w:sectPr>
      <w:headerReference r:id="rId7" w:type="default"/>
      <w:headerReference r:id="rId8" w:type="first"/>
      <w:footerReference r:id="rId9" w:type="default"/>
      <w:footerReference r:id="rId10" w:type="first"/>
      <w:headerReference w:type="even" r:id="rId11"/>
      <w:pgSz w:h="15840" w:w="12240" w:orient="portrait"/>
      <w:pgMar w:bottom="864" w:top="1440" w:left="1152" w:right="1152"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6.png"/>
          <a:graphic>
            <a:graphicData uri="http://schemas.openxmlformats.org/drawingml/2006/picture">
              <pic:pic>
                <pic:nvPicPr>
                  <pic:cNvPr descr="footer" id="0" name="image6.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1" name="image5.png"/>
          <a:graphic>
            <a:graphicData uri="http://schemas.openxmlformats.org/drawingml/2006/picture">
              <pic:pic>
                <pic:nvPicPr>
                  <pic:cNvPr descr="footer" id="0" name="image5.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317500</wp:posOffset>
          </wp:positionV>
          <wp:extent cx="1984248" cy="283464"/>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4"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3"/>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inline distB="0" distT="0" distL="0" distR="0">
          <wp:extent cx="448056" cy="54864"/>
          <wp:effectExtent b="0" l="0" r="0" t="0"/>
          <wp:docPr descr="footer" id="6" name="image6.png"/>
          <a:graphic>
            <a:graphicData uri="http://schemas.openxmlformats.org/drawingml/2006/picture">
              <pic:pic>
                <pic:nvPicPr>
                  <pic:cNvPr descr="footer" id="0" name="image6.png"/>
                  <pic:cNvPicPr preferRelativeResize="0"/>
                </pic:nvPicPr>
                <pic:blipFill>
                  <a:blip r:embed="rId4"/>
                  <a:srcRect b="1037" l="0" r="0" t="1037"/>
                  <a:stretch>
                    <a:fillRect/>
                  </a:stretch>
                </pic:blipFill>
                <pic:spPr>
                  <a:xfrm>
                    <a:off x="0" y="0"/>
                    <a:ext cx="448056" cy="5486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spacing w:before="0" w:line="276" w:lineRule="auto"/>
      <w:ind w:left="-720" w:firstLine="0"/>
      <w:rPr>
        <w:rFonts w:ascii="Arial" w:cs="Arial" w:eastAsia="Arial" w:hAnsi="Arial"/>
      </w:rPr>
    </w:pPr>
    <w:r w:rsidDel="00000000" w:rsidR="00000000" w:rsidRPr="00000000">
      <w:rPr>
        <w:rFonts w:ascii="Arial" w:cs="Arial" w:eastAsia="Arial" w:hAnsi="Arial"/>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253365</wp:posOffset>
          </wp:positionV>
          <wp:extent cx="1984248" cy="28346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3.png"/>
          <a:graphic>
            <a:graphicData uri="http://schemas.openxmlformats.org/drawingml/2006/picture">
              <pic:pic>
                <pic:nvPicPr>
                  <pic:cNvPr descr="horizontal line" id="0" name="image3.png"/>
                  <pic:cNvPicPr preferRelativeResize="0"/>
                </pic:nvPicPr>
                <pic:blipFill>
                  <a:blip r:embed="rId2"/>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15">
    <w:pPr>
      <w:spacing w:before="0" w:line="276" w:lineRule="auto"/>
      <w:ind w:left="720" w:firstLine="720"/>
      <w:jc w:val="right"/>
      <w:rPr/>
    </w:pPr>
    <w:r w:rsidDel="00000000" w:rsidR="00000000" w:rsidRPr="00000000">
      <w:rPr>
        <w:rFonts w:ascii="Arial" w:cs="Arial" w:eastAsia="Arial" w:hAnsi="Arial"/>
        <w:b w:val="1"/>
        <w:bCs w:val="1"/>
        <w:color w:val="ff0000"/>
        <w:sz w:val="26"/>
        <w:szCs w:val="26"/>
        <w:rtl w:val="0"/>
      </w:rPr>
      <w:t xml:space="preserve"> </w:t>
    </w:r>
    <w:r w:rsidDel="00000000" w:rsidR="00000000" w:rsidRPr="00000000">
      <w:rPr>
        <w:rFonts w:ascii="Arial" w:cs="Arial" w:eastAsia="Arial" w:hAnsi="Arial"/>
        <w:b w:val="1"/>
        <w:bCs w:val="1"/>
        <w:i w:val="1"/>
        <w:iCs w:val="1"/>
        <w:color w:val="ff0000"/>
        <w:sz w:val="24"/>
        <w:szCs w:val="24"/>
        <w:rtl w:val="0"/>
      </w:rPr>
      <w:t xml:space="preserve"/>
    </w:r>
    <w:r w:rsidDel="00000000" w:rsidR="00000000" w:rsidRPr="00000000">
      <w:rPr>
        <w:rFonts w:ascii="Arial" w:cs="Arial" w:eastAsia="Arial" w:hAnsi="Arial"/>
        <w:i w:val="1"/>
        <w:iCs w:val="1"/>
        <w:color w:val="ff0000"/>
        <w:sz w:val="24"/>
        <w:szCs w:val="24"/>
        <w:rtl w:val="0"/>
      </w:rPr>
      <w:t xml:space="preserve"/>
    </w: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440" w:line="240" w:lineRule="auto"/>
    </w:pPr>
    <w:rPr>
      <w:rFonts w:ascii="Helvetica Neue" w:cs="Helvetica Neue" w:eastAsia="Helvetica Neue" w:hAnsi="Helvetica Neue"/>
      <w:color w:val="611940"/>
      <w:sz w:val="72"/>
      <w:szCs w:val="72"/>
    </w:rPr>
  </w:style>
  <w:style w:type="paragraph" w:styleId="Heading2">
    <w:name w:val="heading 2"/>
    <w:basedOn w:val="Normal"/>
    <w:next w:val="Normal"/>
    <w:pPr>
      <w:keepNext w:val="1"/>
      <w:keepLines w:val="1"/>
      <w:spacing w:before="480" w:lineRule="auto"/>
    </w:pPr>
    <w:rPr>
      <w:rFonts w:ascii="Arial" w:cs="Arial" w:eastAsia="Arial" w:hAnsi="Arial"/>
      <w:b w:val="1"/>
      <w:bCs w:val="1"/>
      <w:color w:val="611940"/>
      <w:sz w:val="36"/>
      <w:szCs w:val="36"/>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header" Target="header3.xml"/><Relationship Id="rId12" Type="http://schemas.openxmlformats.org/officeDocument/2006/relationships/hyperlink" Target="https://www.jpmorganchase.com" TargetMode="External"/><Relationship Id="rId13" Type="http://schemas.openxmlformats.org/officeDocument/2006/relationships/hyperlink" Target="https://www.jpmorganchase.com/about/leadership" TargetMode="External"/><Relationship Id="rId14" Type="http://schemas.openxmlformats.org/officeDocument/2006/relationships/hyperlink" Target="https://www.jpmorganchase.com/newsroom/from-the-desk-of" TargetMode="External"/><Relationship Id="rId15" Type="http://schemas.openxmlformats.org/officeDocument/2006/relationships/hyperlink" Target="https://www.jpmorganchase.com/careers" TargetMode="External"/><Relationship Id="rId16" Type="http://schemas.openxmlformats.org/officeDocument/2006/relationships/hyperlink" Target="https://www.jpmorganchase.com/careers/work-with-us" TargetMode="External"/><Relationship Id="rId17" Type="http://schemas.openxmlformats.org/officeDocument/2006/relationships/hyperlink" Target="https://www.jpmorganchase.com/careers/grow-with-us" TargetMode="External"/><Relationship Id="rId18" Type="http://schemas.openxmlformats.org/officeDocument/2006/relationships/hyperlink" Target="https://news.google.com/rss/articles/CBMiS0FVX3lxTFBfQUdtMDZYaEtZV0JMSk1ZSzdqTl9mV3dQTnZYcVEzaHo4cV8yUEl2a25QMWRXenFTYUQ3NF9WakR5WXVwaDRTZC1ZYw?oc=5" TargetMode="External"/><Relationship Id="rId19" Type="http://schemas.openxmlformats.org/officeDocument/2006/relationships/hyperlink" Target="https://news.google.com/rss/articles/CBMihAFBVV95cUxQeXZLYks0UXRHWXJRdVRLaU9yZWxxaDF6Y2NNWGpJQnViZkdoVGZ5U2RSWVBZWDJ3aXZsMDhQRmhHTW5FQjczZzk2LTg2OF93ZTFaVENtV1FSbk44Z2dTX1NlN01EYzh3RWtHY25tSHBFSXRUMG0yX1B2c0JxS3NEdEx6aHU?oc=5" TargetMode="External"/><Relationship Id="rId20" Type="http://schemas.openxmlformats.org/officeDocument/2006/relationships/hyperlink" Target="https://news.google.com/rss/articles/CBMimAFBVV95cUxPYktLYm9iMXJGQlBmazE4SnJlVXE4bjlfaFNEY1R4TkZCTW94cklzLTRPSVdpdlpzbDZncmpLa0hEQURCTTZ3RklXcVBHMzI0ZDdUamhmVnJtT0FabWMwOGFwUUhaTXB3bzRjWk9kVVozdy15Y1Q4bHBtdlZtSlhfTWRLRTdQTFFPNzNocGVzbmQyZm5sa2JQZA?oc=5" TargetMode="External"/><Relationship Id="rId21" Type="http://schemas.openxmlformats.org/officeDocument/2006/relationships/hyperlink" Target="https://news.google.com/rss/articles/CBMimAFBVV95cUxPX3hScE9kOG4xU0pEWVBLTXd2YjlNWnZ2U0JmVXhsTHR5b1FaQVl3Z0h4WGViU3lVLWdsa280WWtGNEE1OFV1TDNDWWFXMlc1UDFVSjN2Qk8tT1dpRG5GRlpHUXdpR3QxV2hYcTdXTGFwNVNvMVJXekZnVWtLNTczLVlESlEyYjBUZE5TSEhiRWFaS2VHcm5pSw?oc=5" TargetMode="External"/><Relationship Id="rId22" Type="http://schemas.openxmlformats.org/officeDocument/2006/relationships/hyperlink" Target="https://news.google.com/rss/articles/CBMirwFBVV95cUxPOEtUbTZpYWtEb1NHQ3hmTFU1blI0LWJrd3BnNld2RGF3cXAzOHFCQXgxd3hhSUM1ekhkQ0drMFl2OVNJMXlCX19oMnNkR2duZFcyWVdvbVpMc2NDbjNhN0pDUTg2Mk1mVTZDUTllWk9kaFBNdk1nZWw4YnRud2k3MHFhSnFvY0VaMEJDOHN2ZVF1d0tqWk8xSXNPRGJFeTdRdlFzWVRLLXpwMG9yRDdz?oc=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