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ProximaNova-bold.ttf" ContentType="application/x-font-ttf"/>
  <Override PartName="/word/fonts/ProximaNova-boldItalic.ttf" ContentType="application/x-font-ttf"/>
  <Override PartName="/word/fonts/ProximaNova-italic.ttf" ContentType="application/x-font-ttf"/>
  <Override PartName="/word/fonts/ProximaNova-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spacing w:before="0" w:after="40" w:line="240" w:lineRule="auto"/>
      </w:pPr>
      <w:r>
        <w:rPr>
          <w:rFonts w:ascii="Arial" w:hAnsi="Arial" w:eastAsia="Arial"/>
          <w:b w:val="0"/>
          <w:i w:val="0"/>
          <w:sz w:val="40"/>
        </w:rPr>
        <w:t>Account Brief: jpmorganchase.com</w:t>
      </w:r>
    </w:p>
    <w:p>
      <w:pPr>
        <w:spacing w:before="0" w:after="80" w:line="240" w:lineRule="auto"/>
      </w:pPr>
      <w:r>
        <w:rPr>
          <w:rFonts w:ascii="Arial" w:hAnsi="Arial" w:eastAsia="Arial"/>
          <w:b w:val="0"/>
          <w:i/>
          <w:sz w:val="17"/>
        </w:rPr>
        <w:t>Product: SentinelShield    |   Prepared 10/16/2026   |   Nirmala Sendilkumar</w:t>
      </w:r>
    </w:p>
    <w:p>
      <w:pPr>
        <w:pStyle w:val="Heading2"/>
        <w:spacing w:before="100" w:after="20" w:line="240" w:lineRule="auto"/>
      </w:pPr>
      <w:r>
        <w:rPr>
          <w:rFonts w:ascii="Arial" w:hAnsi="Arial" w:eastAsia="Arial"/>
          <w:b w:val="0"/>
          <w:i w:val="0"/>
          <w:sz w:val="22"/>
        </w:rPr>
        <w:t>Company Strategy</w:t>
      </w:r>
    </w:p>
    <w:p>
      <w:pPr>
        <w:spacing w:before="0" w:after="40" w:line="240" w:lineRule="auto"/>
      </w:pPr>
      <w:r>
        <w:rPr>
          <w:rFonts w:ascii="Arial" w:hAnsi="Arial" w:eastAsia="Arial"/>
          <w:b w:val="0"/>
          <w:i w:val="0"/>
          <w:sz w:val="17"/>
        </w:rPr>
        <w:t>JPMorganChase operates across more than 100 global markets, serving millions of customers and employing over 318,000 people globally as of 2025. The firm recently opened a new global headquarters in New York City and plans to add over 150 local jobs in Philadelphia to support market expansion. Technology is central to its operations: the bank employs approximately 65,000 global technologists and maintains a major tech hub in Plano, Texas. Highlighting its engagement with advanced tech, JPMorgan participated alongside Apple, Google, and eight other companies in model testing evaluated by Anthropic (</w:t>
      </w:r>
      <w:r>
        <w:rPr>
          <w:rFonts w:ascii="Arial" w:hAnsi="Arial" w:eastAsia="Arial"/>
          <w:b w:val="0"/>
          <w:i/>
          <w:sz w:val="17"/>
        </w:rPr>
        <w:t>The Times of India</w:t>
      </w:r>
      <w:r>
        <w:rPr>
          <w:rFonts w:ascii="Arial" w:hAnsi="Arial" w:eastAsia="Arial"/>
          <w:b w:val="0"/>
          <w:i w:val="0"/>
          <w:sz w:val="17"/>
        </w:rPr>
        <w:t>, April 9, 2026).</w:t>
      </w:r>
    </w:p>
    <w:p>
      <w:pPr>
        <w:pStyle w:val="Heading2"/>
        <w:spacing w:before="100" w:after="20" w:line="240" w:lineRule="auto"/>
      </w:pPr>
      <w:r>
        <w:rPr>
          <w:rFonts w:ascii="Arial" w:hAnsi="Arial" w:eastAsia="Arial"/>
          <w:b w:val="0"/>
          <w:i w:val="0"/>
          <w:sz w:val="22"/>
        </w:rPr>
        <w:t>Competitor Mentions</w:t>
      </w:r>
    </w:p>
    <w:p>
      <w:pPr>
        <w:spacing w:before="0" w:after="40" w:line="240" w:lineRule="auto"/>
      </w:pPr>
      <w:r>
        <w:rPr>
          <w:rFonts w:ascii="Arial" w:hAnsi="Arial" w:eastAsia="Arial"/>
          <w:b w:val="0"/>
          <w:i w:val="0"/>
          <w:sz w:val="17"/>
        </w:rPr>
        <w:t>Not found in the provided sources.</w:t>
      </w:r>
    </w:p>
    <w:p>
      <w:pPr>
        <w:pStyle w:val="Heading2"/>
        <w:spacing w:before="100" w:after="20" w:line="240" w:lineRule="auto"/>
      </w:pPr>
      <w:r>
        <w:rPr>
          <w:rFonts w:ascii="Arial" w:hAnsi="Arial" w:eastAsia="Arial"/>
          <w:b w:val="0"/>
          <w:i w:val="0"/>
          <w:sz w:val="22"/>
        </w:rPr>
        <w:t>Leadership Information</w:t>
      </w:r>
    </w:p>
    <w:p>
      <w:pPr>
        <w:spacing w:before="0" w:after="20" w:line="240" w:lineRule="auto"/>
        <w:ind w:left="288" w:hanging="216"/>
      </w:pPr>
      <w:r>
        <w:rPr>
          <w:rFonts w:ascii="Arial" w:hAnsi="Arial" w:eastAsia="Arial"/>
          <w:b w:val="0"/>
          <w:i w:val="0"/>
          <w:sz w:val="17"/>
        </w:rPr>
        <w:t xml:space="preserve">•  </w:t>
      </w:r>
      <w:r>
        <w:rPr>
          <w:rFonts w:ascii="Arial" w:hAnsi="Arial" w:eastAsia="Arial"/>
          <w:b/>
          <w:i w:val="0"/>
          <w:sz w:val="17"/>
        </w:rPr>
        <w:t>Jamie Dimon:</w:t>
      </w:r>
      <w:r>
        <w:rPr>
          <w:rFonts w:ascii="Arial" w:hAnsi="Arial" w:eastAsia="Arial"/>
          <w:b w:val="0"/>
          <w:i w:val="0"/>
          <w:sz w:val="17"/>
        </w:rPr>
        <w:t xml:space="preserve"> Chairman and Chief Executive Officer</w:t>
      </w:r>
    </w:p>
    <w:p>
      <w:pPr>
        <w:spacing w:before="0" w:after="20" w:line="240" w:lineRule="auto"/>
        <w:ind w:left="288" w:hanging="216"/>
      </w:pPr>
      <w:r>
        <w:rPr>
          <w:rFonts w:ascii="Arial" w:hAnsi="Arial" w:eastAsia="Arial"/>
          <w:b w:val="0"/>
          <w:i w:val="0"/>
          <w:sz w:val="17"/>
        </w:rPr>
        <w:t xml:space="preserve">•  </w:t>
      </w:r>
      <w:r>
        <w:rPr>
          <w:rFonts w:ascii="Arial" w:hAnsi="Arial" w:eastAsia="Arial"/>
          <w:b/>
          <w:i w:val="0"/>
          <w:sz w:val="17"/>
        </w:rPr>
        <w:t>Lori Beer:</w:t>
      </w:r>
      <w:r>
        <w:rPr>
          <w:rFonts w:ascii="Arial" w:hAnsi="Arial" w:eastAsia="Arial"/>
          <w:b w:val="0"/>
          <w:i w:val="0"/>
          <w:sz w:val="17"/>
        </w:rPr>
        <w:t xml:space="preserve"> Global Chief Information Officer (Operating Committee)</w:t>
      </w:r>
    </w:p>
    <w:p>
      <w:pPr>
        <w:spacing w:before="0" w:after="20" w:line="240" w:lineRule="auto"/>
        <w:ind w:left="288" w:hanging="216"/>
      </w:pPr>
      <w:r>
        <w:rPr>
          <w:rFonts w:ascii="Arial" w:hAnsi="Arial" w:eastAsia="Arial"/>
          <w:b w:val="0"/>
          <w:i w:val="0"/>
          <w:sz w:val="17"/>
        </w:rPr>
        <w:t xml:space="preserve">•  </w:t>
      </w:r>
      <w:r>
        <w:rPr>
          <w:rFonts w:ascii="Arial" w:hAnsi="Arial" w:eastAsia="Arial"/>
          <w:b/>
          <w:i w:val="0"/>
          <w:sz w:val="17"/>
        </w:rPr>
        <w:t>Ashley Bacon:</w:t>
      </w:r>
      <w:r>
        <w:rPr>
          <w:rFonts w:ascii="Arial" w:hAnsi="Arial" w:eastAsia="Arial"/>
          <w:b w:val="0"/>
          <w:i w:val="0"/>
          <w:sz w:val="17"/>
        </w:rPr>
        <w:t xml:space="preserve"> Chief Risk Officer (Operating Committee)</w:t>
      </w:r>
    </w:p>
    <w:p>
      <w:pPr>
        <w:spacing w:before="0" w:after="20" w:line="240" w:lineRule="auto"/>
        <w:ind w:left="288" w:hanging="216"/>
      </w:pPr>
      <w:r>
        <w:rPr>
          <w:rFonts w:ascii="Arial" w:hAnsi="Arial" w:eastAsia="Arial"/>
          <w:b w:val="0"/>
          <w:i w:val="0"/>
          <w:sz w:val="17"/>
        </w:rPr>
        <w:t xml:space="preserve">•  </w:t>
      </w:r>
      <w:r>
        <w:rPr>
          <w:rFonts w:ascii="Arial" w:hAnsi="Arial" w:eastAsia="Arial"/>
          <w:b/>
          <w:i w:val="0"/>
          <w:sz w:val="17"/>
        </w:rPr>
        <w:t>Jennifer Piepszak:</w:t>
      </w:r>
      <w:r>
        <w:rPr>
          <w:rFonts w:ascii="Arial" w:hAnsi="Arial" w:eastAsia="Arial"/>
          <w:b w:val="0"/>
          <w:i w:val="0"/>
          <w:sz w:val="17"/>
        </w:rPr>
        <w:t xml:space="preserve"> Chief Operating Officer (Operating Committee)</w:t>
      </w:r>
    </w:p>
    <w:p>
      <w:pPr>
        <w:spacing w:before="0" w:after="20" w:line="240" w:lineRule="auto"/>
        <w:ind w:left="288" w:hanging="216"/>
      </w:pPr>
      <w:r>
        <w:rPr>
          <w:rFonts w:ascii="Arial" w:hAnsi="Arial" w:eastAsia="Arial"/>
          <w:b w:val="0"/>
          <w:i w:val="0"/>
          <w:sz w:val="17"/>
        </w:rPr>
        <w:t xml:space="preserve">•  </w:t>
      </w:r>
      <w:r>
        <w:rPr>
          <w:rFonts w:ascii="Arial" w:hAnsi="Arial" w:eastAsia="Arial"/>
          <w:b/>
          <w:i w:val="0"/>
          <w:sz w:val="17"/>
        </w:rPr>
        <w:t>Jeremy Barnum:</w:t>
      </w:r>
      <w:r>
        <w:rPr>
          <w:rFonts w:ascii="Arial" w:hAnsi="Arial" w:eastAsia="Arial"/>
          <w:b w:val="0"/>
          <w:i w:val="0"/>
          <w:sz w:val="17"/>
        </w:rPr>
        <w:t xml:space="preserve"> Chief Financial Officer (Operating Committee)</w:t>
      </w:r>
    </w:p>
    <w:p>
      <w:pPr>
        <w:spacing w:before="0" w:after="20" w:line="240" w:lineRule="auto"/>
        <w:ind w:left="288" w:hanging="216"/>
      </w:pPr>
      <w:r>
        <w:rPr>
          <w:rFonts w:ascii="Arial" w:hAnsi="Arial" w:eastAsia="Arial"/>
          <w:b w:val="0"/>
          <w:i w:val="0"/>
          <w:sz w:val="17"/>
        </w:rPr>
        <w:t xml:space="preserve">•  </w:t>
      </w:r>
      <w:r>
        <w:rPr>
          <w:rFonts w:ascii="Arial" w:hAnsi="Arial" w:eastAsia="Arial"/>
          <w:b/>
          <w:i w:val="0"/>
          <w:sz w:val="17"/>
        </w:rPr>
        <w:t>Doug Petno:</w:t>
      </w:r>
      <w:r>
        <w:rPr>
          <w:rFonts w:ascii="Arial" w:hAnsi="Arial" w:eastAsia="Arial"/>
          <w:b w:val="0"/>
          <w:i w:val="0"/>
          <w:sz w:val="17"/>
        </w:rPr>
        <w:t xml:space="preserve"> Co-President and CEO of Commercial &amp; Investment Bank</w:t>
      </w:r>
    </w:p>
    <w:p>
      <w:pPr>
        <w:spacing w:before="0" w:after="20" w:line="240" w:lineRule="auto"/>
        <w:ind w:left="288" w:hanging="216"/>
      </w:pPr>
      <w:r>
        <w:rPr>
          <w:rFonts w:ascii="Arial" w:hAnsi="Arial" w:eastAsia="Arial"/>
          <w:b w:val="0"/>
          <w:i w:val="0"/>
          <w:sz w:val="17"/>
        </w:rPr>
        <w:t xml:space="preserve">•  </w:t>
      </w:r>
      <w:r>
        <w:rPr>
          <w:rFonts w:ascii="Arial" w:hAnsi="Arial" w:eastAsia="Arial"/>
          <w:b/>
          <w:i w:val="0"/>
          <w:sz w:val="17"/>
        </w:rPr>
        <w:t>Troy Rohrbaugh:</w:t>
      </w:r>
      <w:r>
        <w:rPr>
          <w:rFonts w:ascii="Arial" w:hAnsi="Arial" w:eastAsia="Arial"/>
          <w:b w:val="0"/>
          <w:i w:val="0"/>
          <w:sz w:val="17"/>
        </w:rPr>
        <w:t xml:space="preserve"> Co-President and CEO of Consumer &amp; Community Banking</w:t>
      </w:r>
    </w:p>
    <w:p>
      <w:pPr>
        <w:spacing w:before="0" w:after="20" w:line="240" w:lineRule="auto"/>
        <w:ind w:left="288" w:hanging="216"/>
      </w:pPr>
      <w:r>
        <w:rPr>
          <w:rFonts w:ascii="Arial" w:hAnsi="Arial" w:eastAsia="Arial"/>
          <w:b w:val="0"/>
          <w:i w:val="0"/>
          <w:sz w:val="17"/>
        </w:rPr>
        <w:t xml:space="preserve">•  </w:t>
      </w:r>
      <w:r>
        <w:rPr>
          <w:rFonts w:ascii="Arial" w:hAnsi="Arial" w:eastAsia="Arial"/>
          <w:b/>
          <w:i w:val="0"/>
          <w:sz w:val="17"/>
        </w:rPr>
        <w:t>Mary Callahan Erdoes:</w:t>
      </w:r>
      <w:r>
        <w:rPr>
          <w:rFonts w:ascii="Arial" w:hAnsi="Arial" w:eastAsia="Arial"/>
          <w:b w:val="0"/>
          <w:i w:val="0"/>
          <w:sz w:val="17"/>
        </w:rPr>
        <w:t xml:space="preserve"> CEO, Asset &amp; Wealth Management</w:t>
      </w:r>
    </w:p>
    <w:p>
      <w:pPr>
        <w:spacing w:before="0" w:after="20" w:line="240" w:lineRule="auto"/>
        <w:ind w:left="288" w:hanging="216"/>
      </w:pPr>
      <w:r>
        <w:rPr>
          <w:rFonts w:ascii="Arial" w:hAnsi="Arial" w:eastAsia="Arial"/>
          <w:b w:val="0"/>
          <w:i w:val="0"/>
          <w:sz w:val="17"/>
        </w:rPr>
        <w:t xml:space="preserve">•  </w:t>
      </w:r>
      <w:r>
        <w:rPr>
          <w:rFonts w:ascii="Arial" w:hAnsi="Arial" w:eastAsia="Arial"/>
          <w:b/>
          <w:i w:val="0"/>
          <w:sz w:val="17"/>
        </w:rPr>
        <w:t>Stacey Friedman:</w:t>
      </w:r>
      <w:r>
        <w:rPr>
          <w:rFonts w:ascii="Arial" w:hAnsi="Arial" w:eastAsia="Arial"/>
          <w:b w:val="0"/>
          <w:i w:val="0"/>
          <w:sz w:val="17"/>
        </w:rPr>
        <w:t xml:space="preserve"> General Counsel</w:t>
      </w:r>
    </w:p>
    <w:p>
      <w:pPr>
        <w:spacing w:before="0" w:after="20" w:line="240" w:lineRule="auto"/>
        <w:ind w:left="288" w:hanging="216"/>
      </w:pPr>
      <w:r>
        <w:rPr>
          <w:rFonts w:ascii="Arial" w:hAnsi="Arial" w:eastAsia="Arial"/>
          <w:b w:val="0"/>
          <w:i w:val="0"/>
          <w:sz w:val="17"/>
        </w:rPr>
        <w:t xml:space="preserve">•  </w:t>
      </w:r>
      <w:r>
        <w:rPr>
          <w:rFonts w:ascii="Arial" w:hAnsi="Arial" w:eastAsia="Arial"/>
          <w:b/>
          <w:i w:val="0"/>
          <w:sz w:val="17"/>
        </w:rPr>
        <w:t>Robin Leopold:</w:t>
      </w:r>
      <w:r>
        <w:rPr>
          <w:rFonts w:ascii="Arial" w:hAnsi="Arial" w:eastAsia="Arial"/>
          <w:b w:val="0"/>
          <w:i w:val="0"/>
          <w:sz w:val="17"/>
        </w:rPr>
        <w:t xml:space="preserve"> Executive Vice President and Head of Human Resources</w:t>
      </w:r>
    </w:p>
    <w:p>
      <w:pPr>
        <w:spacing w:before="0" w:after="20" w:line="240" w:lineRule="auto"/>
        <w:ind w:left="288" w:hanging="216"/>
      </w:pPr>
      <w:r>
        <w:rPr>
          <w:rFonts w:ascii="Arial" w:hAnsi="Arial" w:eastAsia="Arial"/>
          <w:b w:val="0"/>
          <w:i w:val="0"/>
          <w:sz w:val="17"/>
        </w:rPr>
        <w:t xml:space="preserve">•  </w:t>
      </w:r>
      <w:r>
        <w:rPr>
          <w:rFonts w:ascii="Arial" w:hAnsi="Arial" w:eastAsia="Arial"/>
          <w:b/>
          <w:i w:val="0"/>
          <w:sz w:val="17"/>
        </w:rPr>
        <w:t>Lou Rauchenberger:</w:t>
      </w:r>
      <w:r>
        <w:rPr>
          <w:rFonts w:ascii="Arial" w:hAnsi="Arial" w:eastAsia="Arial"/>
          <w:b w:val="0"/>
          <w:i w:val="0"/>
          <w:sz w:val="17"/>
        </w:rPr>
        <w:t xml:space="preserve"> Chief Audit Executive</w:t>
      </w:r>
    </w:p>
    <w:p>
      <w:pPr>
        <w:spacing w:before="0" w:after="40" w:line="240" w:lineRule="auto"/>
      </w:pPr>
      <w:r>
        <w:rPr>
          <w:rFonts w:ascii="Arial" w:hAnsi="Arial" w:eastAsia="Arial"/>
          <w:b w:val="0"/>
          <w:i w:val="0"/>
          <w:sz w:val="17"/>
        </w:rPr>
        <w:t>The firm's Board of Directors currently has 11 members.</w:t>
      </w:r>
    </w:p>
    <w:p>
      <w:pPr>
        <w:pStyle w:val="Heading2"/>
        <w:spacing w:before="100" w:after="20" w:line="240" w:lineRule="auto"/>
      </w:pPr>
      <w:r>
        <w:rPr>
          <w:rFonts w:ascii="Arial" w:hAnsi="Arial" w:eastAsia="Arial"/>
          <w:b w:val="0"/>
          <w:i w:val="0"/>
          <w:sz w:val="22"/>
        </w:rPr>
        <w:t>Product/Strategy Summary</w:t>
      </w:r>
    </w:p>
    <w:p>
      <w:pPr>
        <w:spacing w:before="0" w:after="40" w:line="240" w:lineRule="auto"/>
      </w:pPr>
      <w:r>
        <w:rPr>
          <w:rFonts w:ascii="Arial" w:hAnsi="Arial" w:eastAsia="Arial"/>
          <w:b w:val="0"/>
          <w:i w:val="0"/>
          <w:sz w:val="17"/>
        </w:rPr>
        <w:t>SentinelShield is a cybersecurity threat-detection platform built to detect and stop cyber threats in real time, reducing breach risk and response times for large financial institutions. Given JPMorganChase’s massive scale—spanning over 100 global markets, 318,000+ employees, and 65,000 technologists—the institution requires rapid, automated defense mechanisms. SentinelShield directly addresses the institution's exposure to enterprise-level operational hazards, aligning with broader risk considerations highlighted by leadership, including when Jamie Dimon publicly identified one of the biggest risks facing the firm (</w:t>
      </w:r>
      <w:r>
        <w:rPr>
          <w:rFonts w:ascii="Arial" w:hAnsi="Arial" w:eastAsia="Arial"/>
          <w:b w:val="0"/>
          <w:i/>
          <w:sz w:val="17"/>
        </w:rPr>
        <w:t>The Motley Fool</w:t>
      </w:r>
      <w:r>
        <w:rPr>
          <w:rFonts w:ascii="Arial" w:hAnsi="Arial" w:eastAsia="Arial"/>
          <w:b w:val="0"/>
          <w:i w:val="0"/>
          <w:sz w:val="17"/>
        </w:rPr>
        <w:t>, October 10, 2026).</w:t>
      </w:r>
    </w:p>
    <w:p>
      <w:pPr>
        <w:pStyle w:val="Heading2"/>
        <w:spacing w:before="100" w:after="20" w:line="240" w:lineRule="auto"/>
      </w:pPr>
      <w:r>
        <w:rPr>
          <w:rFonts w:ascii="Arial" w:hAnsi="Arial" w:eastAsia="Arial"/>
          <w:b w:val="0"/>
          <w:i w:val="0"/>
          <w:sz w:val="22"/>
        </w:rPr>
        <w:t>Talking Points</w:t>
      </w:r>
    </w:p>
    <w:p>
      <w:pPr>
        <w:spacing w:before="0" w:after="20" w:line="240" w:lineRule="auto"/>
        <w:ind w:left="288" w:hanging="216"/>
      </w:pPr>
      <w:r>
        <w:rPr>
          <w:rFonts w:ascii="Arial" w:hAnsi="Arial" w:eastAsia="Arial"/>
          <w:b w:val="0"/>
          <w:i w:val="0"/>
          <w:sz w:val="17"/>
        </w:rPr>
        <w:t xml:space="preserve">•  </w:t>
      </w:r>
      <w:r>
        <w:rPr>
          <w:rFonts w:ascii="Arial" w:hAnsi="Arial" w:eastAsia="Arial"/>
          <w:b w:val="0"/>
          <w:i w:val="0"/>
          <w:sz w:val="17"/>
        </w:rPr>
        <w:t>With JPMorganChase operating across more than 100 global markets with over 318,000 employees, SentinelShield can significantly reduce your institution's breach risk by identifying and neutralizing threats in real time across your distributed infrastructure.</w:t>
      </w:r>
    </w:p>
    <w:p>
      <w:pPr>
        <w:spacing w:before="0" w:after="20" w:line="240" w:lineRule="auto"/>
        <w:ind w:left="288" w:hanging="216"/>
      </w:pPr>
      <w:r>
        <w:rPr>
          <w:rFonts w:ascii="Arial" w:hAnsi="Arial" w:eastAsia="Arial"/>
          <w:b w:val="0"/>
          <w:i w:val="0"/>
          <w:sz w:val="17"/>
        </w:rPr>
        <w:t xml:space="preserve">•  </w:t>
      </w:r>
      <w:r>
        <w:rPr>
          <w:rFonts w:ascii="Arial" w:hAnsi="Arial" w:eastAsia="Arial"/>
          <w:b w:val="0"/>
          <w:i w:val="0"/>
          <w:sz w:val="17"/>
        </w:rPr>
        <w:t>Supporting an organization with approximately 65,000 global technologists—including your tech hub in Plano, Texas—SentinelShield minimizes response time by detecting and stopping cyber threats before they impact critical financial workflows.</w:t>
      </w:r>
    </w:p>
    <w:p>
      <w:pPr>
        <w:spacing w:before="0" w:after="20" w:line="240" w:lineRule="auto"/>
        <w:ind w:left="288" w:hanging="216"/>
      </w:pPr>
      <w:r>
        <w:rPr>
          <w:rFonts w:ascii="Arial" w:hAnsi="Arial" w:eastAsia="Arial"/>
          <w:b w:val="0"/>
          <w:i w:val="0"/>
          <w:sz w:val="17"/>
        </w:rPr>
        <w:t xml:space="preserve">•  </w:t>
      </w:r>
      <w:r>
        <w:rPr>
          <w:rFonts w:ascii="Arial" w:hAnsi="Arial" w:eastAsia="Arial"/>
          <w:b w:val="0"/>
          <w:i w:val="0"/>
          <w:sz w:val="17"/>
        </w:rPr>
        <w:t>Given that Chairman and CEO Jamie Dimon publicly identified one of the biggest risks facing JPMorgan Chase (</w:t>
      </w:r>
      <w:r>
        <w:rPr>
          <w:rFonts w:ascii="Arial" w:hAnsi="Arial" w:eastAsia="Arial"/>
          <w:b w:val="0"/>
          <w:i/>
          <w:sz w:val="17"/>
        </w:rPr>
        <w:t>The Motley Fool</w:t>
      </w:r>
      <w:r>
        <w:rPr>
          <w:rFonts w:ascii="Arial" w:hAnsi="Arial" w:eastAsia="Arial"/>
          <w:b w:val="0"/>
          <w:i w:val="0"/>
          <w:sz w:val="17"/>
        </w:rPr>
        <w:t>, October 10, 2026), SentinelShield provides the real-time detection and mitigation capabilities your security office needs to safeguard the bank against emerging enterprise threats.</w:t>
      </w:r>
    </w:p>
    <w:p>
      <w:pPr>
        <w:pStyle w:val="Heading2"/>
        <w:spacing w:before="100" w:after="20" w:line="240" w:lineRule="auto"/>
      </w:pPr>
      <w:r>
        <w:rPr>
          <w:rFonts w:ascii="Arial" w:hAnsi="Arial" w:eastAsia="Arial"/>
          <w:b w:val="0"/>
          <w:i w:val="0"/>
          <w:sz w:val="22"/>
        </w:rPr>
        <w:t>Article Links</w:t>
      </w:r>
    </w:p>
    <w:p>
      <w:pPr>
        <w:spacing w:before="0" w:after="40" w:line="240" w:lineRule="auto"/>
      </w:pPr>
      <w:r>
        <w:rPr>
          <w:rFonts w:ascii="Arial" w:hAnsi="Arial" w:eastAsia="Arial"/>
          <w:b/>
          <w:i w:val="0"/>
          <w:sz w:val="17"/>
        </w:rPr>
        <w:t>Company pages</w:t>
      </w:r>
    </w:p>
    <w:p>
      <w:pPr>
        <w:spacing w:before="0" w:after="20" w:line="240" w:lineRule="auto"/>
        <w:ind w:left="288" w:hanging="216"/>
      </w:pPr>
      <w:r>
        <w:rPr>
          <w:rFonts w:ascii="Arial" w:hAnsi="Arial" w:eastAsia="Arial"/>
          <w:b w:val="0"/>
          <w:i w:val="0"/>
          <w:sz w:val="17"/>
        </w:rPr>
        <w:t xml:space="preserve">•  </w:t>
      </w:r>
      <w:hyperlink r:id="rId12">
        <w:r>
          <w:rPr>
            <w:rFonts w:ascii="Arial" w:hAnsi="Arial" w:eastAsia="Arial"/>
            <w:b w:val="0"/>
            <w:i w:val="0"/>
            <w:color w:val="039BE5"/>
            <w:sz w:val="17"/>
            <w:u w:val="single"/>
          </w:rPr>
          <w:t>https://www.jpmorganchase.com</w:t>
        </w:r>
      </w:hyperlink>
    </w:p>
    <w:p>
      <w:pPr>
        <w:spacing w:before="0" w:after="20" w:line="240" w:lineRule="auto"/>
        <w:ind w:left="288" w:hanging="216"/>
      </w:pPr>
      <w:r>
        <w:rPr>
          <w:rFonts w:ascii="Arial" w:hAnsi="Arial" w:eastAsia="Arial"/>
          <w:b w:val="0"/>
          <w:i w:val="0"/>
          <w:sz w:val="17"/>
        </w:rPr>
        <w:t xml:space="preserve">•  </w:t>
      </w:r>
      <w:hyperlink r:id="rId13">
        <w:r>
          <w:rPr>
            <w:rFonts w:ascii="Arial" w:hAnsi="Arial" w:eastAsia="Arial"/>
            <w:b w:val="0"/>
            <w:i w:val="0"/>
            <w:color w:val="039BE5"/>
            <w:sz w:val="17"/>
            <w:u w:val="single"/>
          </w:rPr>
          <w:t>https://www.jpmorganchase.com/about/leadership</w:t>
        </w:r>
      </w:hyperlink>
    </w:p>
    <w:p>
      <w:pPr>
        <w:spacing w:before="0" w:after="20" w:line="240" w:lineRule="auto"/>
        <w:ind w:left="288" w:hanging="216"/>
      </w:pPr>
      <w:r>
        <w:rPr>
          <w:rFonts w:ascii="Arial" w:hAnsi="Arial" w:eastAsia="Arial"/>
          <w:b w:val="0"/>
          <w:i w:val="0"/>
          <w:sz w:val="17"/>
        </w:rPr>
        <w:t xml:space="preserve">•  </w:t>
      </w:r>
      <w:hyperlink r:id="rId14">
        <w:r>
          <w:rPr>
            <w:rFonts w:ascii="Arial" w:hAnsi="Arial" w:eastAsia="Arial"/>
            <w:b w:val="0"/>
            <w:i w:val="0"/>
            <w:color w:val="039BE5"/>
            <w:sz w:val="17"/>
            <w:u w:val="single"/>
          </w:rPr>
          <w:t>https://www.jpmorganchase.com/newsroom/from-the-desk-of</w:t>
        </w:r>
      </w:hyperlink>
    </w:p>
    <w:p>
      <w:pPr>
        <w:spacing w:before="0" w:after="20" w:line="240" w:lineRule="auto"/>
        <w:ind w:left="288" w:hanging="216"/>
      </w:pPr>
      <w:r>
        <w:rPr>
          <w:rFonts w:ascii="Arial" w:hAnsi="Arial" w:eastAsia="Arial"/>
          <w:b w:val="0"/>
          <w:i w:val="0"/>
          <w:sz w:val="17"/>
        </w:rPr>
        <w:t xml:space="preserve">•  </w:t>
      </w:r>
      <w:hyperlink r:id="rId15">
        <w:r>
          <w:rPr>
            <w:rFonts w:ascii="Arial" w:hAnsi="Arial" w:eastAsia="Arial"/>
            <w:b w:val="0"/>
            <w:i w:val="0"/>
            <w:color w:val="039BE5"/>
            <w:sz w:val="17"/>
            <w:u w:val="single"/>
          </w:rPr>
          <w:t>https://www.jpmorganchase.com/careers</w:t>
        </w:r>
      </w:hyperlink>
    </w:p>
    <w:p>
      <w:pPr>
        <w:spacing w:before="0" w:after="20" w:line="240" w:lineRule="auto"/>
        <w:ind w:left="288" w:hanging="216"/>
      </w:pPr>
      <w:r>
        <w:rPr>
          <w:rFonts w:ascii="Arial" w:hAnsi="Arial" w:eastAsia="Arial"/>
          <w:b w:val="0"/>
          <w:i w:val="0"/>
          <w:sz w:val="17"/>
        </w:rPr>
        <w:t xml:space="preserve">•  </w:t>
      </w:r>
      <w:hyperlink r:id="rId16">
        <w:r>
          <w:rPr>
            <w:rFonts w:ascii="Arial" w:hAnsi="Arial" w:eastAsia="Arial"/>
            <w:b w:val="0"/>
            <w:i w:val="0"/>
            <w:color w:val="039BE5"/>
            <w:sz w:val="17"/>
            <w:u w:val="single"/>
          </w:rPr>
          <w:t>https://www.jpmorganchase.com/careers/work-with-us</w:t>
        </w:r>
      </w:hyperlink>
    </w:p>
    <w:p>
      <w:pPr>
        <w:spacing w:before="0" w:after="20" w:line="240" w:lineRule="auto"/>
        <w:ind w:left="288" w:hanging="216"/>
      </w:pPr>
      <w:r>
        <w:rPr>
          <w:rFonts w:ascii="Arial" w:hAnsi="Arial" w:eastAsia="Arial"/>
          <w:b w:val="0"/>
          <w:i w:val="0"/>
          <w:sz w:val="17"/>
        </w:rPr>
        <w:t xml:space="preserve">•  </w:t>
      </w:r>
      <w:hyperlink r:id="rId17">
        <w:r>
          <w:rPr>
            <w:rFonts w:ascii="Arial" w:hAnsi="Arial" w:eastAsia="Arial"/>
            <w:b w:val="0"/>
            <w:i w:val="0"/>
            <w:color w:val="039BE5"/>
            <w:sz w:val="17"/>
            <w:u w:val="single"/>
          </w:rPr>
          <w:t>https://www.jpmorganchase.com/careers/grow-with-us</w:t>
        </w:r>
      </w:hyperlink>
    </w:p>
    <w:p>
      <w:pPr>
        <w:spacing w:before="0" w:after="40" w:line="240" w:lineRule="auto"/>
      </w:pPr>
      <w:r>
        <w:rPr>
          <w:rFonts w:ascii="Arial" w:hAnsi="Arial" w:eastAsia="Arial"/>
          <w:b/>
          <w:i w:val="0"/>
          <w:sz w:val="17"/>
        </w:rPr>
        <w:t>Recent news</w:t>
      </w:r>
    </w:p>
    <w:p>
      <w:pPr>
        <w:spacing w:before="0" w:after="20" w:line="240" w:lineRule="auto"/>
        <w:ind w:left="288" w:hanging="216"/>
      </w:pPr>
      <w:r>
        <w:rPr>
          <w:rFonts w:ascii="Arial" w:hAnsi="Arial" w:eastAsia="Arial"/>
          <w:b w:val="0"/>
          <w:i w:val="0"/>
          <w:sz w:val="17"/>
        </w:rPr>
        <w:t xml:space="preserve">•  </w:t>
      </w:r>
      <w:hyperlink r:id="rId18">
        <w:r>
          <w:rPr>
            <w:rFonts w:ascii="Arial" w:hAnsi="Arial" w:eastAsia="Arial"/>
            <w:b w:val="0"/>
            <w:i w:val="0"/>
            <w:color w:val="039BE5"/>
            <w:sz w:val="17"/>
            <w:u w:val="single"/>
          </w:rPr>
          <w:t>Project Glasswing: Securing critical software for the AI era</w:t>
        </w:r>
      </w:hyperlink>
      <w:r>
        <w:rPr>
          <w:rFonts w:ascii="Arial" w:hAnsi="Arial" w:eastAsia="Arial"/>
          <w:b w:val="0"/>
          <w:i w:val="0"/>
          <w:sz w:val="17"/>
        </w:rPr>
        <w:t xml:space="preserve"> (Anthropic, Tue, 07 Apr 2026)</w:t>
      </w:r>
    </w:p>
    <w:p>
      <w:pPr>
        <w:spacing w:before="0" w:after="20" w:line="240" w:lineRule="auto"/>
        <w:ind w:left="288" w:hanging="216"/>
      </w:pPr>
      <w:r>
        <w:rPr>
          <w:rFonts w:ascii="Arial" w:hAnsi="Arial" w:eastAsia="Arial"/>
          <w:b w:val="0"/>
          <w:i w:val="0"/>
          <w:sz w:val="17"/>
        </w:rPr>
        <w:t xml:space="preserve">•  </w:t>
      </w:r>
      <w:hyperlink r:id="rId19">
        <w:r>
          <w:rPr>
            <w:rFonts w:ascii="Arial" w:hAnsi="Arial" w:eastAsia="Arial"/>
            <w:b w:val="0"/>
            <w:i w:val="0"/>
            <w:color w:val="039BE5"/>
            <w:sz w:val="17"/>
            <w:u w:val="single"/>
          </w:rPr>
          <w:t>India Seeks Access to Anthropic’s Project Glasswing to Boost AI-Driven Cybersecurity Testing</w:t>
        </w:r>
      </w:hyperlink>
      <w:r>
        <w:rPr>
          <w:rFonts w:ascii="Arial" w:hAnsi="Arial" w:eastAsia="Arial"/>
          <w:b w:val="0"/>
          <w:i w:val="0"/>
          <w:sz w:val="17"/>
        </w:rPr>
        <w:t xml:space="preserve"> (Sarkaritel.com, Fri, 03 Jul 2026)</w:t>
      </w:r>
    </w:p>
    <w:p>
      <w:pPr>
        <w:spacing w:before="0" w:after="20" w:line="240" w:lineRule="auto"/>
        <w:ind w:left="288" w:hanging="216"/>
      </w:pPr>
      <w:r>
        <w:rPr>
          <w:rFonts w:ascii="Arial" w:hAnsi="Arial" w:eastAsia="Arial"/>
          <w:b w:val="0"/>
          <w:i w:val="0"/>
          <w:sz w:val="17"/>
        </w:rPr>
        <w:t xml:space="preserve">•  </w:t>
      </w:r>
      <w:hyperlink r:id="rId20">
        <w:r>
          <w:rPr>
            <w:rFonts w:ascii="Arial" w:hAnsi="Arial" w:eastAsia="Arial"/>
            <w:b w:val="0"/>
            <w:i w:val="0"/>
            <w:color w:val="039BE5"/>
            <w:sz w:val="17"/>
            <w:u w:val="single"/>
          </w:rPr>
          <w:t>Jamie Dimon Revealed 1 of the Biggest Risks to JPMorgan Chase, and This Stock Could Benefit</w:t>
        </w:r>
      </w:hyperlink>
      <w:r>
        <w:rPr>
          <w:rFonts w:ascii="Arial" w:hAnsi="Arial" w:eastAsia="Arial"/>
          <w:b w:val="0"/>
          <w:i w:val="0"/>
          <w:sz w:val="17"/>
        </w:rPr>
        <w:t xml:space="preserve"> (The Motley Fool, Sat, 10 Oct 2026)</w:t>
      </w:r>
    </w:p>
    <w:p>
      <w:pPr>
        <w:spacing w:before="0" w:after="20" w:line="240" w:lineRule="auto"/>
        <w:ind w:left="288" w:hanging="216"/>
      </w:pPr>
      <w:r>
        <w:rPr>
          <w:rFonts w:ascii="Arial" w:hAnsi="Arial" w:eastAsia="Arial"/>
          <w:b w:val="0"/>
          <w:i w:val="0"/>
          <w:sz w:val="17"/>
        </w:rPr>
        <w:t xml:space="preserve">•  </w:t>
      </w:r>
      <w:hyperlink r:id="rId21">
        <w:r>
          <w:rPr>
            <w:rFonts w:ascii="Arial" w:hAnsi="Arial" w:eastAsia="Arial"/>
            <w:b w:val="0"/>
            <w:i w:val="0"/>
            <w:color w:val="039BE5"/>
            <w:sz w:val="17"/>
            <w:u w:val="single"/>
          </w:rPr>
          <w:t>Anthropic is giving some firms early access to Claude Mythos to bolster cybersecurity defenses</w:t>
        </w:r>
      </w:hyperlink>
      <w:r>
        <w:rPr>
          <w:rFonts w:ascii="Arial" w:hAnsi="Arial" w:eastAsia="Arial"/>
          <w:b w:val="0"/>
          <w:i w:val="0"/>
          <w:sz w:val="17"/>
        </w:rPr>
        <w:t xml:space="preserve"> (Fortune, Tue, 07 Apr 2026)</w:t>
      </w:r>
    </w:p>
    <w:p>
      <w:pPr>
        <w:spacing w:before="0" w:after="20" w:line="240" w:lineRule="auto"/>
        <w:ind w:left="288" w:hanging="216"/>
      </w:pPr>
      <w:r>
        <w:rPr>
          <w:rFonts w:ascii="Arial" w:hAnsi="Arial" w:eastAsia="Arial"/>
          <w:b w:val="0"/>
          <w:i w:val="0"/>
          <w:sz w:val="17"/>
        </w:rPr>
        <w:t xml:space="preserve">•  </w:t>
      </w:r>
      <w:hyperlink r:id="rId22">
        <w:r>
          <w:rPr>
            <w:rFonts w:ascii="Arial" w:hAnsi="Arial" w:eastAsia="Arial"/>
            <w:b w:val="0"/>
            <w:i w:val="0"/>
            <w:color w:val="039BE5"/>
            <w:sz w:val="17"/>
            <w:u w:val="single"/>
          </w:rPr>
          <w:t>Anthropic's New Model, Mythos, Is So Dangerous It Isn't Being Released to the Public</w:t>
        </w:r>
      </w:hyperlink>
      <w:r>
        <w:rPr>
          <w:rFonts w:ascii="Arial" w:hAnsi="Arial" w:eastAsia="Arial"/>
          <w:b w:val="0"/>
          <w:i w:val="0"/>
          <w:sz w:val="17"/>
        </w:rPr>
        <w:t xml:space="preserve"> (SFist, Wed, 15 Apr 2026)</w:t>
      </w:r>
    </w:p>
    <w:sectPr>
      <w:headerReference r:id="rId7" w:type="default"/>
      <w:headerReference r:id="rId8" w:type="first"/>
      <w:footerReference r:id="rId9" w:type="default"/>
      <w:footerReference r:id="rId10" w:type="first"/>
      <w:headerReference w:type="even" r:id="rId11"/>
      <w:pgSz w:h="15840" w:w="12240" w:orient="portrait"/>
      <w:pgMar w:bottom="864" w:top="1440" w:left="1152" w:right="1152"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footer" id="2" name="image6.png"/>
          <a:graphic>
            <a:graphicData uri="http://schemas.openxmlformats.org/drawingml/2006/picture">
              <pic:pic>
                <pic:nvPicPr>
                  <pic:cNvPr descr="footer" id="0" name="image6.png"/>
                  <pic:cNvPicPr preferRelativeResize="0"/>
                </pic:nvPicPr>
                <pic:blipFill>
                  <a:blip r:embed="rId1"/>
                  <a:srcRect b="1037" l="0" r="0" t="1037"/>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footer" id="1" name="image5.png"/>
          <a:graphic>
            <a:graphicData uri="http://schemas.openxmlformats.org/drawingml/2006/picture">
              <pic:pic>
                <pic:nvPicPr>
                  <pic:cNvPr descr="footer" id="0" name="image5.png"/>
                  <pic:cNvPicPr preferRelativeResize="0"/>
                </pic:nvPicPr>
                <pic:blipFill>
                  <a:blip r:embed="rId1"/>
                  <a:srcRect b="1037" l="0" r="0" t="1037"/>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Pr>
      <w:drawing>
        <wp:anchor allowOverlap="1" behindDoc="1" distB="114300" distT="114300" distL="114300" distR="114300" hidden="0" layoutInCell="1" locked="0" relativeHeight="0" simplePos="0">
          <wp:simplePos x="0" y="0"/>
          <wp:positionH relativeFrom="page">
            <wp:posOffset>449580</wp:posOffset>
          </wp:positionH>
          <wp:positionV relativeFrom="page">
            <wp:posOffset>317500</wp:posOffset>
          </wp:positionV>
          <wp:extent cx="1984248" cy="283464"/>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84248" cy="283464"/>
                  </a:xfrm>
                  <a:prstGeom prst="rect"/>
                  <a:ln/>
                </pic:spPr>
              </pic:pic>
            </a:graphicData>
          </a:graphic>
        </wp:anchor>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horizontal line" id="4" name="image2.png"/>
          <a:graphic>
            <a:graphicData uri="http://schemas.openxmlformats.org/drawingml/2006/picture">
              <pic:pic>
                <pic:nvPicPr>
                  <pic:cNvPr descr="horizontal line" id="0" name="image2.png"/>
                  <pic:cNvPicPr preferRelativeResize="0"/>
                </pic:nvPicPr>
                <pic:blipFill>
                  <a:blip r:embed="rId2"/>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4.png"/>
          <a:graphic>
            <a:graphicData uri="http://schemas.openxmlformats.org/drawingml/2006/picture">
              <pic:pic>
                <pic:nvPicPr>
                  <pic:cNvPr descr="horizontal line" id="0" name="image4.png"/>
                  <pic:cNvPicPr preferRelativeResize="0"/>
                </pic:nvPicPr>
                <pic:blipFill>
                  <a:blip r:embed="rId3"/>
                  <a:srcRect b="3029" l="0" r="0" t="3029"/>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color w:val="666666"/>
        <w:sz w:val="20"/>
        <w:szCs w:val="20"/>
      </w:rPr>
      <w:drawing>
        <wp:inline distB="0" distT="0" distL="0" distR="0">
          <wp:extent cx="448056" cy="54864"/>
          <wp:effectExtent b="0" l="0" r="0" t="0"/>
          <wp:docPr descr="footer" id="6" name="image6.png"/>
          <a:graphic>
            <a:graphicData uri="http://schemas.openxmlformats.org/drawingml/2006/picture">
              <pic:pic>
                <pic:nvPicPr>
                  <pic:cNvPr descr="footer" id="0" name="image6.png"/>
                  <pic:cNvPicPr preferRelativeResize="0"/>
                </pic:nvPicPr>
                <pic:blipFill>
                  <a:blip r:embed="rId4"/>
                  <a:srcRect b="1037" l="0" r="0" t="1037"/>
                  <a:stretch>
                    <a:fillRect/>
                  </a:stretch>
                </pic:blipFill>
                <pic:spPr>
                  <a:xfrm>
                    <a:off x="0" y="0"/>
                    <a:ext cx="448056" cy="54864"/>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spacing w:before="0" w:line="276" w:lineRule="auto"/>
      <w:ind w:left="-720" w:firstLine="0"/>
      <w:rPr>
        <w:rFonts w:ascii="Arial" w:cs="Arial" w:eastAsia="Arial" w:hAnsi="Arial"/>
      </w:rPr>
    </w:pPr>
    <w:r w:rsidDel="00000000" w:rsidR="00000000" w:rsidRPr="00000000">
      <w:rPr>
        <w:rFonts w:ascii="Arial" w:cs="Arial" w:eastAsia="Arial" w:hAnsi="Arial"/>
      </w:rPr>
      <w:drawing>
        <wp:anchor allowOverlap="1" behindDoc="1" distB="114300" distT="114300" distL="114300" distR="114300" hidden="0" layoutInCell="1" locked="0" relativeHeight="0" simplePos="0">
          <wp:simplePos x="0" y="0"/>
          <wp:positionH relativeFrom="page">
            <wp:posOffset>449580</wp:posOffset>
          </wp:positionH>
          <wp:positionV relativeFrom="page">
            <wp:posOffset>253365</wp:posOffset>
          </wp:positionV>
          <wp:extent cx="1984248" cy="283464"/>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84248" cy="283464"/>
                  </a:xfrm>
                  <a:prstGeom prst="rect"/>
                  <a:ln/>
                </pic:spPr>
              </pic:pic>
            </a:graphicData>
          </a:graphic>
        </wp:anchor>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9" name="image3.png"/>
          <a:graphic>
            <a:graphicData uri="http://schemas.openxmlformats.org/drawingml/2006/picture">
              <pic:pic>
                <pic:nvPicPr>
                  <pic:cNvPr descr="horizontal line" id="0" name="image3.png"/>
                  <pic:cNvPicPr preferRelativeResize="0"/>
                </pic:nvPicPr>
                <pic:blipFill>
                  <a:blip r:embed="rId2"/>
                  <a:srcRect b="3029" l="0" r="0" t="3029"/>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15">
    <w:pPr>
      <w:spacing w:before="0" w:line="276" w:lineRule="auto"/>
      <w:ind w:left="720" w:firstLine="720"/>
      <w:jc w:val="right"/>
      <w:rPr/>
    </w:pPr>
    <w:r w:rsidDel="00000000" w:rsidR="00000000" w:rsidRPr="00000000">
      <w:rPr>
        <w:rFonts w:ascii="Arial" w:cs="Arial" w:eastAsia="Arial" w:hAnsi="Arial"/>
        <w:b w:val="1"/>
        <w:bCs w:val="1"/>
        <w:color w:val="ff0000"/>
        <w:sz w:val="26"/>
        <w:szCs w:val="26"/>
        <w:rtl w:val="0"/>
      </w:rPr>
      <w:t xml:space="preserve"> </w:t>
    </w:r>
    <w:r w:rsidDel="00000000" w:rsidR="00000000" w:rsidRPr="00000000">
      <w:rPr>
        <w:rFonts w:ascii="Arial" w:cs="Arial" w:eastAsia="Arial" w:hAnsi="Arial"/>
        <w:b w:val="1"/>
        <w:bCs w:val="1"/>
        <w:i w:val="1"/>
        <w:iCs w:val="1"/>
        <w:color w:val="ff0000"/>
        <w:sz w:val="24"/>
        <w:szCs w:val="24"/>
        <w:rtl w:val="0"/>
      </w:rPr>
      <w:t xml:space="preserve"/>
    </w:r>
    <w:r w:rsidDel="00000000" w:rsidR="00000000" w:rsidRPr="00000000">
      <w:rPr>
        <w:rFonts w:ascii="Arial" w:cs="Arial" w:eastAsia="Arial" w:hAnsi="Arial"/>
        <w:i w:val="1"/>
        <w:iCs w:val="1"/>
        <w:color w:val="ff0000"/>
        <w:sz w:val="24"/>
        <w:szCs w:val="24"/>
        <w:rtl w:val="0"/>
      </w:rPr>
      <w:t xml:space="preserve"/>
    </w:r>
    <w:r w:rsidDel="00000000" w:rsidR="00000000" w:rsidRPr="00000000">
      <w:rPr>
        <w:rtl w:val="0"/>
      </w:r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440" w:line="240" w:lineRule="auto"/>
    </w:pPr>
    <w:rPr>
      <w:rFonts w:ascii="Helvetica Neue" w:cs="Helvetica Neue" w:eastAsia="Helvetica Neue" w:hAnsi="Helvetica Neue"/>
      <w:color w:val="611940"/>
      <w:sz w:val="72"/>
      <w:szCs w:val="72"/>
    </w:rPr>
  </w:style>
  <w:style w:type="paragraph" w:styleId="Heading2">
    <w:name w:val="heading 2"/>
    <w:basedOn w:val="Normal"/>
    <w:next w:val="Normal"/>
    <w:pPr>
      <w:keepNext w:val="1"/>
      <w:keepLines w:val="1"/>
      <w:spacing w:before="480" w:lineRule="auto"/>
    </w:pPr>
    <w:rPr>
      <w:rFonts w:ascii="Arial" w:cs="Arial" w:eastAsia="Arial" w:hAnsi="Arial"/>
      <w:b w:val="1"/>
      <w:bCs w:val="1"/>
      <w:color w:val="611940"/>
      <w:sz w:val="36"/>
      <w:szCs w:val="36"/>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header" Target="header1.xml"/><Relationship Id="rId8" Type="http://schemas.openxmlformats.org/officeDocument/2006/relationships/header" Target="header2.xml"/><Relationship Id="rId11" Type="http://schemas.openxmlformats.org/officeDocument/2006/relationships/header" Target="header3.xml"/><Relationship Id="rId12" Type="http://schemas.openxmlformats.org/officeDocument/2006/relationships/hyperlink" Target="https://www.jpmorganchase.com" TargetMode="External"/><Relationship Id="rId13" Type="http://schemas.openxmlformats.org/officeDocument/2006/relationships/hyperlink" Target="https://www.jpmorganchase.com/about/leadership" TargetMode="External"/><Relationship Id="rId14" Type="http://schemas.openxmlformats.org/officeDocument/2006/relationships/hyperlink" Target="https://www.jpmorganchase.com/newsroom/from-the-desk-of" TargetMode="External"/><Relationship Id="rId15" Type="http://schemas.openxmlformats.org/officeDocument/2006/relationships/hyperlink" Target="https://www.jpmorganchase.com/careers" TargetMode="External"/><Relationship Id="rId16" Type="http://schemas.openxmlformats.org/officeDocument/2006/relationships/hyperlink" Target="https://www.jpmorganchase.com/careers/work-with-us" TargetMode="External"/><Relationship Id="rId17" Type="http://schemas.openxmlformats.org/officeDocument/2006/relationships/hyperlink" Target="https://www.jpmorganchase.com/careers/grow-with-us" TargetMode="External"/><Relationship Id="rId18" Type="http://schemas.openxmlformats.org/officeDocument/2006/relationships/hyperlink" Target="https://news.google.com/rss/articles/CBMiS0FVX3lxTFBfQUdtMDZYaEtZV0JMSk1ZSzdqTl9mV3dQTnZYcVEzaHo4cV8yUEl2a25QMWRXenFTYUQ3NF9WakR5WXVwaDRTZC1ZYw?oc=5" TargetMode="External"/><Relationship Id="rId19" Type="http://schemas.openxmlformats.org/officeDocument/2006/relationships/hyperlink" Target="https://news.google.com/rss/articles/CBMihAFBVV95cUxQeXZLYks0UXRHWXJRdVRLaU9yZWxxaDF6Y2NNWGpJQnViZkdoVGZ5U2RSWVBZWDJ3aXZsMDhQRmhHTW5FQjczZzk2LTg2OF93ZTFaVENtV1FSbk44Z2dTX1NlN01EYzh3RWtHY25tSHBFSXRUMG0yX1B2c0JxS3NEdEx6aHU?oc=5" TargetMode="External"/><Relationship Id="rId20" Type="http://schemas.openxmlformats.org/officeDocument/2006/relationships/hyperlink" Target="https://news.google.com/rss/articles/CBMimAFBVV95cUxPYktLYm9iMXJGQlBmazE4SnJlVXE4bjlfaFNEY1R4TkZCTW94cklzLTRPSVdpdlpzbDZncmpLa0hEQURCTTZ3RklXcVBHMzI0ZDdUamhmVnJtT0FabWMwOGFwUUhaTXB3bzRjWk9kVVozdy15Y1Q4bHBtdlZtSlhfTWRLRTdQTFFPNzNocGVzbmQyZm5sa2JQZA?oc=5" TargetMode="External"/><Relationship Id="rId21" Type="http://schemas.openxmlformats.org/officeDocument/2006/relationships/hyperlink" Target="https://news.google.com/rss/articles/CBMimAFBVV95cUxPX3hScE9kOG4xU0pEWVBLTXd2YjlNWnZ2U0JmVXhsTHR5b1FaQVl3Z0h4WGViU3lVLWdsa280WWtGNEE1OFV1TDNDWWFXMlc1UDFVSjN2Qk8tT1dpRG5GRlpHUXdpR3QxV2hYcTdXTGFwNVNvMVJXekZnVWtLNTczLVlESlEyYjBUZE5TSEhiRWFaS2VHcm5pSw?oc=5" TargetMode="External"/><Relationship Id="rId22" Type="http://schemas.openxmlformats.org/officeDocument/2006/relationships/hyperlink" Target="https://news.google.com/rss/articles/CBMirwFBVV95cUxPOEtUbTZpYWtEb1NHQ3hmTFU1blI0LWJrd3BnNld2RGF3cXAzOHFCQXgxd3hhSUM1ekhkQ0drMFl2OVNJMXlCX19oMnNkR2duZFcyWVdvbVpMc2NDbjNhN0pDUTg2Mk1mVTZDUTllWk9kaFBNdk1nZWw4YnRud2k3MHFhSnFvY0VaMEJDOHN2ZVF1d0tqWk8xSXNPRGJFeTdRdlFzWVRLLXpwMG9yRDdz?oc=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4.png"/><Relationship Id="rId4"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