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40" w:line="240" w:lineRule="auto"/>
      </w:pPr>
      <w:r>
        <w:rPr>
          <w:rFonts w:ascii="Arial" w:hAnsi="Arial" w:eastAsia="Arial"/>
          <w:b w:val="0"/>
          <w:i w:val="0"/>
          <w:sz w:val="40"/>
        </w:rPr>
        <w:t>Account Brief: jpmorganchase.com</w:t>
      </w:r>
    </w:p>
    <w:p>
      <w:pPr>
        <w:spacing w:before="0" w:after="80" w:line="240" w:lineRule="auto"/>
      </w:pPr>
      <w:r>
        <w:rPr>
          <w:rFonts w:ascii="Arial" w:hAnsi="Arial" w:eastAsia="Arial"/>
          <w:b w:val="0"/>
          <w:i/>
          <w:sz w:val="17"/>
        </w:rPr>
        <w:t>Product: SentinelShield    |   Prepared 10/16/2026   |   Nirmala Sendilkumar</w:t>
      </w:r>
    </w:p>
    <w:p>
      <w:pPr>
        <w:pStyle w:val="Heading2"/>
        <w:spacing w:before="100" w:after="20" w:line="240" w:lineRule="auto"/>
      </w:pPr>
      <w:r>
        <w:rPr>
          <w:rFonts w:ascii="Arial" w:hAnsi="Arial" w:eastAsia="Arial"/>
          <w:b w:val="0"/>
          <w:i w:val="0"/>
          <w:sz w:val="22"/>
        </w:rPr>
        <w:t>Company Strategy</w:t>
      </w:r>
    </w:p>
    <w:p>
      <w:pPr>
        <w:spacing w:before="0" w:after="40" w:line="240" w:lineRule="auto"/>
      </w:pPr>
      <w:r>
        <w:rPr>
          <w:rFonts w:ascii="Arial" w:hAnsi="Arial" w:eastAsia="Arial"/>
          <w:b w:val="0"/>
          <w:i w:val="0"/>
          <w:sz w:val="17"/>
        </w:rPr>
        <w:t>JPMorganChase operates across more than 100 global markets, serving millions of clients and consumers worldwide. The firm recently opened a new global headquarters in New York City and is expanding at 2400 Market Street in Philadelphia, planning to add over 150 local jobs for market expansion and client coverage. The institution heavily prioritizes its technology infrastructure, operating a dedicated tech hub in Plano, Texas, and engaging in testing advanced systems such as Anthropic’s Mythos model (The Times of India, 09 Apr 2026).</w:t>
      </w:r>
    </w:p>
    <w:p>
      <w:pPr>
        <w:pStyle w:val="Heading2"/>
        <w:spacing w:before="100" w:after="20" w:line="240" w:lineRule="auto"/>
      </w:pPr>
      <w:r>
        <w:rPr>
          <w:rFonts w:ascii="Arial" w:hAnsi="Arial" w:eastAsia="Arial"/>
          <w:b w:val="0"/>
          <w:i w:val="0"/>
          <w:sz w:val="22"/>
        </w:rPr>
        <w:t>Competitor Mentions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crowdstrike: 0 mention(s)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paloaltonetworks: 0 mention(s)</w:t>
      </w:r>
    </w:p>
    <w:p>
      <w:pPr>
        <w:pStyle w:val="Heading2"/>
        <w:spacing w:before="100" w:after="20" w:line="240" w:lineRule="auto"/>
      </w:pPr>
      <w:r>
        <w:rPr>
          <w:rFonts w:ascii="Arial" w:hAnsi="Arial" w:eastAsia="Arial"/>
          <w:b w:val="0"/>
          <w:i w:val="0"/>
          <w:sz w:val="22"/>
        </w:rPr>
        <w:t>Leadership Information</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Jamie Dimon</w:t>
      </w:r>
      <w:r>
        <w:rPr>
          <w:rFonts w:ascii="Arial" w:hAnsi="Arial" w:eastAsia="Arial"/>
          <w:b w:val="0"/>
          <w:i w:val="0"/>
          <w:sz w:val="17"/>
        </w:rPr>
        <w:t>: Chairman and Chief Executive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Lori Beer</w:t>
      </w:r>
      <w:r>
        <w:rPr>
          <w:rFonts w:ascii="Arial" w:hAnsi="Arial" w:eastAsia="Arial"/>
          <w:b w:val="0"/>
          <w:i w:val="0"/>
          <w:sz w:val="17"/>
        </w:rPr>
        <w:t>: Global Chief Information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Ashley Bacon</w:t>
      </w:r>
      <w:r>
        <w:rPr>
          <w:rFonts w:ascii="Arial" w:hAnsi="Arial" w:eastAsia="Arial"/>
          <w:b w:val="0"/>
          <w:i w:val="0"/>
          <w:sz w:val="17"/>
        </w:rPr>
        <w:t>: Chief Risk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Jennifer Piepszak</w:t>
      </w:r>
      <w:r>
        <w:rPr>
          <w:rFonts w:ascii="Arial" w:hAnsi="Arial" w:eastAsia="Arial"/>
          <w:b w:val="0"/>
          <w:i w:val="0"/>
          <w:sz w:val="17"/>
        </w:rPr>
        <w:t>: Chief Operating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Jeremy Barnum</w:t>
      </w:r>
      <w:r>
        <w:rPr>
          <w:rFonts w:ascii="Arial" w:hAnsi="Arial" w:eastAsia="Arial"/>
          <w:b w:val="0"/>
          <w:i w:val="0"/>
          <w:sz w:val="17"/>
        </w:rPr>
        <w:t>: Chief Financial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Doug Petno</w:t>
      </w:r>
      <w:r>
        <w:rPr>
          <w:rFonts w:ascii="Arial" w:hAnsi="Arial" w:eastAsia="Arial"/>
          <w:b w:val="0"/>
          <w:i w:val="0"/>
          <w:sz w:val="17"/>
        </w:rPr>
        <w:t>: Co-President &amp; CEO of Commercial &amp; Investment Bank</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Troy Rohrbaugh</w:t>
      </w:r>
      <w:r>
        <w:rPr>
          <w:rFonts w:ascii="Arial" w:hAnsi="Arial" w:eastAsia="Arial"/>
          <w:b w:val="0"/>
          <w:i w:val="0"/>
          <w:sz w:val="17"/>
        </w:rPr>
        <w:t>: Co-President &amp; CEO of Consumer &amp; Community Banking</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Stacey Friedman</w:t>
      </w:r>
      <w:r>
        <w:rPr>
          <w:rFonts w:ascii="Arial" w:hAnsi="Arial" w:eastAsia="Arial"/>
          <w:b w:val="0"/>
          <w:i w:val="0"/>
          <w:sz w:val="17"/>
        </w:rPr>
        <w:t>: General Counsel</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Lou Rauchenberger</w:t>
      </w:r>
      <w:r>
        <w:rPr>
          <w:rFonts w:ascii="Arial" w:hAnsi="Arial" w:eastAsia="Arial"/>
          <w:b w:val="0"/>
          <w:i w:val="0"/>
          <w:sz w:val="17"/>
        </w:rPr>
        <w:t>: Chief Audit Executive</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The Board of Directors currently comprises 11 members.</w:t>
      </w:r>
    </w:p>
    <w:p>
      <w:pPr>
        <w:pStyle w:val="Heading2"/>
        <w:spacing w:before="100" w:after="20" w:line="240" w:lineRule="auto"/>
      </w:pPr>
      <w:r>
        <w:rPr>
          <w:rFonts w:ascii="Arial" w:hAnsi="Arial" w:eastAsia="Arial"/>
          <w:b w:val="0"/>
          <w:i w:val="0"/>
          <w:sz w:val="22"/>
        </w:rPr>
        <w:t>Product/Strategy Summary</w:t>
      </w:r>
    </w:p>
    <w:p>
      <w:pPr>
        <w:spacing w:before="0" w:after="40" w:line="240" w:lineRule="auto"/>
      </w:pPr>
      <w:r>
        <w:rPr>
          <w:rFonts w:ascii="Arial" w:hAnsi="Arial" w:eastAsia="Arial"/>
          <w:b w:val="0"/>
          <w:i w:val="0"/>
          <w:sz w:val="17"/>
        </w:rPr>
        <w:t>JPMorganChase operates at a massive scale, employing more than 318,000 people globally in 2025, which includes approximately 65,000 global technologists. The organization maintains a Global Technology division with software engineers and a Model Review Group employing quantitative analysts. The bank actively reviews leading-edge technologies and risks; it participated in testing Anthropic's AI model Mythos (The Times of India, 09 Apr 2026), and CEO Jamie Dimon has highlighted major risks facing the firm (The Motley Fool, 10 Oct 2026).</w:t>
      </w:r>
    </w:p>
    <w:p>
      <w:pPr>
        <w:pStyle w:val="Heading2"/>
        <w:spacing w:before="100" w:after="20" w:line="240" w:lineRule="auto"/>
      </w:pPr>
      <w:r>
        <w:rPr>
          <w:rFonts w:ascii="Arial" w:hAnsi="Arial" w:eastAsia="Arial"/>
          <w:b w:val="0"/>
          <w:i w:val="0"/>
          <w:sz w:val="22"/>
        </w:rPr>
        <w:t>Talking Points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Given your massive enterprise footprint supporting approximately 65,000 global technologists, SentinelShield can lower your breach risk by detecting and stopping attacks in real time across your entire network.</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With your team actively evaluating sophisticated artificial intelligence systems like Anthropic's Mythos model (The Times of India, 09 Apr 2026), SentinelShield can reduce response time against complex, real-time cyber threats.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In light of leadership's focus on addressing the biggest risks to the firm (The Motley Fool, 10 Oct 2026), SentinelShield delivers purpose-built threat prevention designed to protect Tier-1 financial institutions from critical operational disruption.</w:t>
      </w:r>
    </w:p>
    <w:p>
      <w:pPr>
        <w:pStyle w:val="Heading2"/>
        <w:spacing w:before="100" w:after="20" w:line="240" w:lineRule="auto"/>
      </w:pPr>
      <w:r>
        <w:rPr>
          <w:rFonts w:ascii="Arial" w:hAnsi="Arial" w:eastAsia="Arial"/>
          <w:b w:val="0"/>
          <w:i w:val="0"/>
          <w:sz w:val="22"/>
        </w:rPr>
        <w:t>Article Links</w:t>
      </w:r>
    </w:p>
    <w:p>
      <w:pPr>
        <w:spacing w:before="0" w:after="40" w:line="240" w:lineRule="auto"/>
      </w:pPr>
      <w:r>
        <w:rPr>
          <w:rFonts w:ascii="Arial" w:hAnsi="Arial" w:eastAsia="Arial"/>
          <w:b/>
          <w:i w:val="0"/>
          <w:sz w:val="17"/>
        </w:rPr>
        <w:t>Company pages</w:t>
      </w:r>
    </w:p>
    <w:p>
      <w:pPr>
        <w:spacing w:before="0" w:after="20" w:line="240" w:lineRule="auto"/>
        <w:ind w:left="288" w:hanging="216"/>
      </w:pPr>
      <w:r>
        <w:rPr>
          <w:rFonts w:ascii="Arial" w:hAnsi="Arial" w:eastAsia="Arial"/>
          <w:b w:val="0"/>
          <w:i w:val="0"/>
          <w:sz w:val="17"/>
        </w:rPr>
        <w:t xml:space="preserve">•  </w:t>
      </w:r>
      <w:hyperlink r:id="rId12">
        <w:r>
          <w:rPr>
            <w:rFonts w:ascii="Arial" w:hAnsi="Arial" w:eastAsia="Arial"/>
            <w:b w:val="0"/>
            <w:i w:val="0"/>
            <w:color w:val="039BE5"/>
            <w:sz w:val="17"/>
            <w:u w:val="single"/>
          </w:rPr>
          <w:t>https://www.jpmorganchase.com</w:t>
        </w:r>
      </w:hyperlink>
    </w:p>
    <w:p>
      <w:pPr>
        <w:spacing w:before="0" w:after="20" w:line="240" w:lineRule="auto"/>
        <w:ind w:left="288" w:hanging="216"/>
      </w:pPr>
      <w:r>
        <w:rPr>
          <w:rFonts w:ascii="Arial" w:hAnsi="Arial" w:eastAsia="Arial"/>
          <w:b w:val="0"/>
          <w:i w:val="0"/>
          <w:sz w:val="17"/>
        </w:rPr>
        <w:t xml:space="preserve">•  </w:t>
      </w:r>
      <w:hyperlink r:id="rId13">
        <w:r>
          <w:rPr>
            <w:rFonts w:ascii="Arial" w:hAnsi="Arial" w:eastAsia="Arial"/>
            <w:b w:val="0"/>
            <w:i w:val="0"/>
            <w:color w:val="039BE5"/>
            <w:sz w:val="17"/>
            <w:u w:val="single"/>
          </w:rPr>
          <w:t>https://www.jpmorganchase.com/about/leadership</w:t>
        </w:r>
      </w:hyperlink>
    </w:p>
    <w:p>
      <w:pPr>
        <w:spacing w:before="0" w:after="20" w:line="240" w:lineRule="auto"/>
        <w:ind w:left="288" w:hanging="216"/>
      </w:pPr>
      <w:r>
        <w:rPr>
          <w:rFonts w:ascii="Arial" w:hAnsi="Arial" w:eastAsia="Arial"/>
          <w:b w:val="0"/>
          <w:i w:val="0"/>
          <w:sz w:val="17"/>
        </w:rPr>
        <w:t xml:space="preserve">•  </w:t>
      </w:r>
      <w:hyperlink r:id="rId14">
        <w:r>
          <w:rPr>
            <w:rFonts w:ascii="Arial" w:hAnsi="Arial" w:eastAsia="Arial"/>
            <w:b w:val="0"/>
            <w:i w:val="0"/>
            <w:color w:val="039BE5"/>
            <w:sz w:val="17"/>
            <w:u w:val="single"/>
          </w:rPr>
          <w:t>https://www.jpmorganchase.com/newsroom/from-the-desk-of</w:t>
        </w:r>
      </w:hyperlink>
    </w:p>
    <w:p>
      <w:pPr>
        <w:spacing w:before="0" w:after="20" w:line="240" w:lineRule="auto"/>
        <w:ind w:left="288" w:hanging="216"/>
      </w:pPr>
      <w:r>
        <w:rPr>
          <w:rFonts w:ascii="Arial" w:hAnsi="Arial" w:eastAsia="Arial"/>
          <w:b w:val="0"/>
          <w:i w:val="0"/>
          <w:sz w:val="17"/>
        </w:rPr>
        <w:t xml:space="preserve">•  </w:t>
      </w:r>
      <w:hyperlink r:id="rId15">
        <w:r>
          <w:rPr>
            <w:rFonts w:ascii="Arial" w:hAnsi="Arial" w:eastAsia="Arial"/>
            <w:b w:val="0"/>
            <w:i w:val="0"/>
            <w:color w:val="039BE5"/>
            <w:sz w:val="17"/>
            <w:u w:val="single"/>
          </w:rPr>
          <w:t>https://www.jpmorganchase.com/careers</w:t>
        </w:r>
      </w:hyperlink>
    </w:p>
    <w:p>
      <w:pPr>
        <w:spacing w:before="0" w:after="20" w:line="240" w:lineRule="auto"/>
        <w:ind w:left="288" w:hanging="216"/>
      </w:pPr>
      <w:r>
        <w:rPr>
          <w:rFonts w:ascii="Arial" w:hAnsi="Arial" w:eastAsia="Arial"/>
          <w:b w:val="0"/>
          <w:i w:val="0"/>
          <w:sz w:val="17"/>
        </w:rPr>
        <w:t xml:space="preserve">•  </w:t>
      </w:r>
      <w:hyperlink r:id="rId16">
        <w:r>
          <w:rPr>
            <w:rFonts w:ascii="Arial" w:hAnsi="Arial" w:eastAsia="Arial"/>
            <w:b w:val="0"/>
            <w:i w:val="0"/>
            <w:color w:val="039BE5"/>
            <w:sz w:val="17"/>
            <w:u w:val="single"/>
          </w:rPr>
          <w:t>https://www.jpmorganchase.com/careers/work-with-us</w:t>
        </w:r>
      </w:hyperlink>
    </w:p>
    <w:p>
      <w:pPr>
        <w:spacing w:before="0" w:after="20" w:line="240" w:lineRule="auto"/>
        <w:ind w:left="288" w:hanging="216"/>
      </w:pPr>
      <w:r>
        <w:rPr>
          <w:rFonts w:ascii="Arial" w:hAnsi="Arial" w:eastAsia="Arial"/>
          <w:b w:val="0"/>
          <w:i w:val="0"/>
          <w:sz w:val="17"/>
        </w:rPr>
        <w:t xml:space="preserve">•  </w:t>
      </w:r>
      <w:hyperlink r:id="rId17">
        <w:r>
          <w:rPr>
            <w:rFonts w:ascii="Arial" w:hAnsi="Arial" w:eastAsia="Arial"/>
            <w:b w:val="0"/>
            <w:i w:val="0"/>
            <w:color w:val="039BE5"/>
            <w:sz w:val="17"/>
            <w:u w:val="single"/>
          </w:rPr>
          <w:t>https://www.jpmorganchase.com/careers/grow-with-us</w:t>
        </w:r>
      </w:hyperlink>
    </w:p>
    <w:p>
      <w:pPr>
        <w:spacing w:before="0" w:after="40" w:line="240" w:lineRule="auto"/>
      </w:pPr>
      <w:r>
        <w:rPr>
          <w:rFonts w:ascii="Arial" w:hAnsi="Arial" w:eastAsia="Arial"/>
          <w:b/>
          <w:i w:val="0"/>
          <w:sz w:val="17"/>
        </w:rPr>
        <w:t>Recent news</w:t>
      </w:r>
    </w:p>
    <w:p>
      <w:pPr>
        <w:spacing w:before="0" w:after="20" w:line="240" w:lineRule="auto"/>
        <w:ind w:left="288" w:hanging="216"/>
      </w:pPr>
      <w:r>
        <w:rPr>
          <w:rFonts w:ascii="Arial" w:hAnsi="Arial" w:eastAsia="Arial"/>
          <w:b w:val="0"/>
          <w:i w:val="0"/>
          <w:sz w:val="17"/>
        </w:rPr>
        <w:t xml:space="preserve">•  </w:t>
      </w:r>
      <w:hyperlink r:id="rId18">
        <w:r>
          <w:rPr>
            <w:rFonts w:ascii="Arial" w:hAnsi="Arial" w:eastAsia="Arial"/>
            <w:b w:val="0"/>
            <w:i w:val="0"/>
            <w:color w:val="039BE5"/>
            <w:sz w:val="17"/>
            <w:u w:val="single"/>
          </w:rPr>
          <w:t>Project Glasswing: Securing critical software for the AI era</w:t>
        </w:r>
      </w:hyperlink>
      <w:r>
        <w:rPr>
          <w:rFonts w:ascii="Arial" w:hAnsi="Arial" w:eastAsia="Arial"/>
          <w:b w:val="0"/>
          <w:i w:val="0"/>
          <w:sz w:val="17"/>
        </w:rPr>
        <w:t xml:space="preserve"> (Anthropic, Tue, 07 Apr 2026)</w:t>
      </w:r>
    </w:p>
    <w:p>
      <w:pPr>
        <w:spacing w:before="0" w:after="20" w:line="240" w:lineRule="auto"/>
        <w:ind w:left="288" w:hanging="216"/>
      </w:pPr>
      <w:r>
        <w:rPr>
          <w:rFonts w:ascii="Arial" w:hAnsi="Arial" w:eastAsia="Arial"/>
          <w:b w:val="0"/>
          <w:i w:val="0"/>
          <w:sz w:val="17"/>
        </w:rPr>
        <w:t xml:space="preserve">•  </w:t>
      </w:r>
      <w:hyperlink r:id="rId19">
        <w:r>
          <w:rPr>
            <w:rFonts w:ascii="Arial" w:hAnsi="Arial" w:eastAsia="Arial"/>
            <w:b w:val="0"/>
            <w:i w:val="0"/>
            <w:color w:val="039BE5"/>
            <w:sz w:val="17"/>
            <w:u w:val="single"/>
          </w:rPr>
          <w:t>India Seeks Access to Anthropic’s Project Glasswing to Boost AI-Driven Cybersecurity Testing</w:t>
        </w:r>
      </w:hyperlink>
      <w:r>
        <w:rPr>
          <w:rFonts w:ascii="Arial" w:hAnsi="Arial" w:eastAsia="Arial"/>
          <w:b w:val="0"/>
          <w:i w:val="0"/>
          <w:sz w:val="17"/>
        </w:rPr>
        <w:t xml:space="preserve"> (Sarkaritel.com, Fri, 03 Jul 2026)</w:t>
      </w:r>
    </w:p>
    <w:p>
      <w:pPr>
        <w:spacing w:before="0" w:after="20" w:line="240" w:lineRule="auto"/>
        <w:ind w:left="288" w:hanging="216"/>
      </w:pPr>
      <w:r>
        <w:rPr>
          <w:rFonts w:ascii="Arial" w:hAnsi="Arial" w:eastAsia="Arial"/>
          <w:b w:val="0"/>
          <w:i w:val="0"/>
          <w:sz w:val="17"/>
        </w:rPr>
        <w:t xml:space="preserve">•  </w:t>
      </w:r>
      <w:hyperlink r:id="rId20">
        <w:r>
          <w:rPr>
            <w:rFonts w:ascii="Arial" w:hAnsi="Arial" w:eastAsia="Arial"/>
            <w:b w:val="0"/>
            <w:i w:val="0"/>
            <w:color w:val="039BE5"/>
            <w:sz w:val="17"/>
            <w:u w:val="single"/>
          </w:rPr>
          <w:t>Jamie Dimon Revealed 1 of the Biggest Risks to JPMorgan Chase, and This Stock Could Benefit</w:t>
        </w:r>
      </w:hyperlink>
      <w:r>
        <w:rPr>
          <w:rFonts w:ascii="Arial" w:hAnsi="Arial" w:eastAsia="Arial"/>
          <w:b w:val="0"/>
          <w:i w:val="0"/>
          <w:sz w:val="17"/>
        </w:rPr>
        <w:t xml:space="preserve"> (The Motley Fool, Sat, 10 Oct 2026)</w:t>
      </w:r>
    </w:p>
    <w:p>
      <w:pPr>
        <w:spacing w:before="0" w:after="20" w:line="240" w:lineRule="auto"/>
        <w:ind w:left="288" w:hanging="216"/>
      </w:pPr>
      <w:r>
        <w:rPr>
          <w:rFonts w:ascii="Arial" w:hAnsi="Arial" w:eastAsia="Arial"/>
          <w:b w:val="0"/>
          <w:i w:val="0"/>
          <w:sz w:val="17"/>
        </w:rPr>
        <w:t xml:space="preserve">•  </w:t>
      </w:r>
      <w:hyperlink r:id="rId21">
        <w:r>
          <w:rPr>
            <w:rFonts w:ascii="Arial" w:hAnsi="Arial" w:eastAsia="Arial"/>
            <w:b w:val="0"/>
            <w:i w:val="0"/>
            <w:color w:val="039BE5"/>
            <w:sz w:val="17"/>
            <w:u w:val="single"/>
          </w:rPr>
          <w:t>Anthropic is giving some firms early access to Claude Mythos to bolster cybersecurity defenses</w:t>
        </w:r>
      </w:hyperlink>
      <w:r>
        <w:rPr>
          <w:rFonts w:ascii="Arial" w:hAnsi="Arial" w:eastAsia="Arial"/>
          <w:b w:val="0"/>
          <w:i w:val="0"/>
          <w:sz w:val="17"/>
        </w:rPr>
        <w:t xml:space="preserve"> (Fortune, Tue, 07 Apr 2026)</w:t>
      </w:r>
    </w:p>
    <w:p>
      <w:pPr>
        <w:spacing w:before="0" w:after="20" w:line="240" w:lineRule="auto"/>
        <w:ind w:left="288" w:hanging="216"/>
      </w:pPr>
      <w:r>
        <w:rPr>
          <w:rFonts w:ascii="Arial" w:hAnsi="Arial" w:eastAsia="Arial"/>
          <w:b w:val="0"/>
          <w:i w:val="0"/>
          <w:sz w:val="17"/>
        </w:rPr>
        <w:t xml:space="preserve">•  </w:t>
      </w:r>
      <w:hyperlink r:id="rId22">
        <w:r>
          <w:rPr>
            <w:rFonts w:ascii="Arial" w:hAnsi="Arial" w:eastAsia="Arial"/>
            <w:b w:val="0"/>
            <w:i w:val="0"/>
            <w:color w:val="039BE5"/>
            <w:sz w:val="17"/>
            <w:u w:val="single"/>
          </w:rPr>
          <w:t>Anthropic's New Model, Mythos, Is So Dangerous It Isn't Being Released to the Public</w:t>
        </w:r>
      </w:hyperlink>
      <w:r>
        <w:rPr>
          <w:rFonts w:ascii="Arial" w:hAnsi="Arial" w:eastAsia="Arial"/>
          <w:b w:val="0"/>
          <w:i w:val="0"/>
          <w:sz w:val="17"/>
        </w:rPr>
        <w:t xml:space="preserve"> (SFist, Wed, 15 Apr 2026)</w:t>
      </w:r>
    </w:p>
    <w:sectPr>
      <w:headerReference r:id="rId7" w:type="default"/>
      <w:headerReference r:id="rId8" w:type="first"/>
      <w:footerReference r:id="rId9" w:type="default"/>
      <w:footerReference r:id="rId10" w:type="first"/>
      <w:headerReference w:type="even" r:id="rId11"/>
      <w:pgSz w:h="15840" w:w="12240" w:orient="portrait"/>
      <w:pgMar w:bottom="864" w:top="1440" w:left="1152" w:right="1152"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6.png"/>
          <a:graphic>
            <a:graphicData uri="http://schemas.openxmlformats.org/drawingml/2006/picture">
              <pic:pic>
                <pic:nvPicPr>
                  <pic:cNvPr descr="footer" id="0" name="image6.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1" name="image5.png"/>
          <a:graphic>
            <a:graphicData uri="http://schemas.openxmlformats.org/drawingml/2006/picture">
              <pic:pic>
                <pic:nvPicPr>
                  <pic:cNvPr descr="footer" id="0" name="image5.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317500</wp:posOffset>
          </wp:positionV>
          <wp:extent cx="1984248" cy="283464"/>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4"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3"/>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inline distB="0" distT="0" distL="0" distR="0">
          <wp:extent cx="448056" cy="54864"/>
          <wp:effectExtent b="0" l="0" r="0" t="0"/>
          <wp:docPr descr="footer" id="6" name="image6.png"/>
          <a:graphic>
            <a:graphicData uri="http://schemas.openxmlformats.org/drawingml/2006/picture">
              <pic:pic>
                <pic:nvPicPr>
                  <pic:cNvPr descr="footer" id="0" name="image6.png"/>
                  <pic:cNvPicPr preferRelativeResize="0"/>
                </pic:nvPicPr>
                <pic:blipFill>
                  <a:blip r:embed="rId4"/>
                  <a:srcRect b="1037" l="0" r="0" t="1037"/>
                  <a:stretch>
                    <a:fillRect/>
                  </a:stretch>
                </pic:blipFill>
                <pic:spPr>
                  <a:xfrm>
                    <a:off x="0" y="0"/>
                    <a:ext cx="448056" cy="5486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984248" cy="28346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3.png"/>
          <a:graphic>
            <a:graphicData uri="http://schemas.openxmlformats.org/drawingml/2006/picture">
              <pic:pic>
                <pic:nvPicPr>
                  <pic:cNvPr descr="horizontal line" id="0" name="image3.png"/>
                  <pic:cNvPicPr preferRelativeResize="0"/>
                </pic:nvPicPr>
                <pic:blipFill>
                  <a:blip r:embed="rId2"/>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5">
    <w:pPr>
      <w:spacing w:before="0" w:line="276" w:lineRule="auto"/>
      <w:ind w:left="720" w:firstLine="720"/>
      <w:jc w:val="right"/>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
    </w:r>
    <w:r w:rsidDel="00000000" w:rsidR="00000000" w:rsidRPr="00000000">
      <w:rPr>
        <w:rFonts w:ascii="Arial" w:cs="Arial" w:eastAsia="Arial" w:hAnsi="Arial"/>
        <w:i w:val="1"/>
        <w:iCs w:val="1"/>
        <w:color w:val="ff0000"/>
        <w:sz w:val="24"/>
        <w:szCs w:val="24"/>
        <w:rtl w:val="0"/>
      </w:rPr>
      <w:t xml:space="preserve"/>
    </w: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440" w:line="240" w:lineRule="auto"/>
    </w:pPr>
    <w:rPr>
      <w:rFonts w:ascii="Helvetica Neue" w:cs="Helvetica Neue" w:eastAsia="Helvetica Neue" w:hAnsi="Helvetica Neue"/>
      <w:color w:val="611940"/>
      <w:sz w:val="72"/>
      <w:szCs w:val="72"/>
    </w:rPr>
  </w:style>
  <w:style w:type="paragraph" w:styleId="Heading2">
    <w:name w:val="heading 2"/>
    <w:basedOn w:val="Normal"/>
    <w:next w:val="Normal"/>
    <w:pPr>
      <w:keepNext w:val="1"/>
      <w:keepLines w:val="1"/>
      <w:spacing w:before="480" w:lineRule="auto"/>
    </w:pPr>
    <w:rPr>
      <w:rFonts w:ascii="Arial" w:cs="Arial" w:eastAsia="Arial" w:hAnsi="Arial"/>
      <w:b w:val="1"/>
      <w:bCs w:val="1"/>
      <w:color w:val="611940"/>
      <w:sz w:val="36"/>
      <w:szCs w:val="36"/>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eader" Target="header3.xml"/><Relationship Id="rId12" Type="http://schemas.openxmlformats.org/officeDocument/2006/relationships/hyperlink" Target="https://www.jpmorganchase.com" TargetMode="External"/><Relationship Id="rId13" Type="http://schemas.openxmlformats.org/officeDocument/2006/relationships/hyperlink" Target="https://www.jpmorganchase.com/about/leadership" TargetMode="External"/><Relationship Id="rId14" Type="http://schemas.openxmlformats.org/officeDocument/2006/relationships/hyperlink" Target="https://www.jpmorganchase.com/newsroom/from-the-desk-of" TargetMode="External"/><Relationship Id="rId15" Type="http://schemas.openxmlformats.org/officeDocument/2006/relationships/hyperlink" Target="https://www.jpmorganchase.com/careers" TargetMode="External"/><Relationship Id="rId16" Type="http://schemas.openxmlformats.org/officeDocument/2006/relationships/hyperlink" Target="https://www.jpmorganchase.com/careers/work-with-us" TargetMode="External"/><Relationship Id="rId17" Type="http://schemas.openxmlformats.org/officeDocument/2006/relationships/hyperlink" Target="https://www.jpmorganchase.com/careers/grow-with-us" TargetMode="External"/><Relationship Id="rId18" Type="http://schemas.openxmlformats.org/officeDocument/2006/relationships/hyperlink" Target="https://news.google.com/rss/articles/CBMiS0FVX3lxTFBfQUdtMDZYaEtZV0JMSk1ZSzdqTl9mV3dQTnZYcVEzaHo4cV8yUEl2a25QMWRXenFTYUQ3NF9WakR5WXVwaDRTZC1ZYw?oc=5" TargetMode="External"/><Relationship Id="rId19" Type="http://schemas.openxmlformats.org/officeDocument/2006/relationships/hyperlink" Target="https://news.google.com/rss/articles/CBMihAFBVV95cUxQeXZLYks0UXRHWXJRdVRLaU9yZWxxaDF6Y2NNWGpJQnViZkdoVGZ5U2RSWVBZWDJ3aXZsMDhQRmhHTW5FQjczZzk2LTg2OF93ZTFaVENtV1FSbk44Z2dTX1NlN01EYzh3RWtHY25tSHBFSXRUMG0yX1B2c0JxS3NEdEx6aHU?oc=5" TargetMode="External"/><Relationship Id="rId20" Type="http://schemas.openxmlformats.org/officeDocument/2006/relationships/hyperlink" Target="https://news.google.com/rss/articles/CBMimAFBVV95cUxPYktLYm9iMXJGQlBmazE4SnJlVXE4bjlfaFNEY1R4TkZCTW94cklzLTRPSVdpdlpzbDZncmpLa0hEQURCTTZ3RklXcVBHMzI0ZDdUamhmVnJtT0FabWMwOGFwUUhaTXB3bzRjWk9kVVozdy15Y1Q4bHBtdlZtSlhfTWRLRTdQTFFPNzNocGVzbmQyZm5sa2JQZA?oc=5" TargetMode="External"/><Relationship Id="rId21" Type="http://schemas.openxmlformats.org/officeDocument/2006/relationships/hyperlink" Target="https://news.google.com/rss/articles/CBMimAFBVV95cUxPX3hScE9kOG4xU0pEWVBLTXd2YjlNWnZ2U0JmVXhsTHR5b1FaQVl3Z0h4WGViU3lVLWdsa280WWtGNEE1OFV1TDNDWWFXMlc1UDFVSjN2Qk8tT1dpRG5GRlpHUXdpR3QxV2hYcTdXTGFwNVNvMVJXekZnVWtLNTczLVlESlEyYjBUZE5TSEhiRWFaS2VHcm5pSw?oc=5" TargetMode="External"/><Relationship Id="rId22" Type="http://schemas.openxmlformats.org/officeDocument/2006/relationships/hyperlink" Target="https://news.google.com/rss/articles/CBMirwFBVV95cUxPOEtUbTZpYWtEb1NHQ3hmTFU1blI0LWJrd3BnNld2RGF3cXAzOHFCQXgxd3hhSUM1ekhkQ0drMFl2OVNJMXlCX19oMnNkR2duZFcyWVdvbVpMc2NDbjNhN0pDUTg2Mk1mVTZDUTllWk9kaFBNdk1nZWw4YnRud2k3MHFhSnFvY0VaMEJDOHN2ZVF1d0tqWk8xSXNPRGJFeTdRdlFzWVRLLXpwMG9yRDdz?o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