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0" w:after="40" w:line="240" w:lineRule="auto"/>
      </w:pPr>
      <w:r>
        <w:rPr>
          <w:rFonts w:ascii="Arial" w:hAnsi="Arial" w:eastAsia="Arial"/>
          <w:b w:val="0"/>
          <w:i w:val="0"/>
          <w:sz w:val="40"/>
        </w:rPr>
        <w:t>Account Brief: jpmorganchase.com</w:t>
      </w:r>
    </w:p>
    <w:p>
      <w:pPr>
        <w:spacing w:before="0" w:after="80" w:line="240" w:lineRule="auto"/>
      </w:pPr>
      <w:r>
        <w:rPr>
          <w:rFonts w:ascii="Arial" w:hAnsi="Arial" w:eastAsia="Arial"/>
          <w:b w:val="0"/>
          <w:i/>
          <w:sz w:val="17"/>
        </w:rPr>
        <w:t>Product: SentinelShield    |   Prepared 10/16/2026   |   Nirmala Sendilkumar</w:t>
      </w:r>
    </w:p>
    <w:p>
      <w:pPr>
        <w:pStyle w:val="Heading2"/>
        <w:spacing w:before="100" w:after="20" w:line="240" w:lineRule="auto"/>
      </w:pPr>
      <w:r>
        <w:rPr>
          <w:rFonts w:ascii="Arial" w:hAnsi="Arial" w:eastAsia="Arial"/>
          <w:b w:val="0"/>
          <w:i w:val="0"/>
          <w:sz w:val="22"/>
        </w:rPr>
        <w:t>Company Strategy</w:t>
      </w:r>
    </w:p>
    <w:p>
      <w:pPr>
        <w:spacing w:before="0" w:after="40" w:line="240" w:lineRule="auto"/>
      </w:pPr>
      <w:r>
        <w:rPr>
          <w:rFonts w:ascii="Arial" w:hAnsi="Arial" w:eastAsia="Arial"/>
          <w:b w:val="0"/>
          <w:i w:val="0"/>
          <w:sz w:val="17"/>
        </w:rPr>
        <w:t>JPMorganChase operates at immense scale across more than 100 global markets, employing over 318,000 people, including approximately 65,000 global technologists. The firm recently opened a new global headquarters in New York City and maintains major tech hubs, including Plano, Texas, alongside a Global Technology division housing software engineering and model review groups. Highlighting its focus on advanced risk management and technical vetting, JPMorganChase participated alongside Apple and Google in testing Anthropic's AI model Mythos (reported by The Times of India on April 9, 2026). Furthermore, CEO Jamie Dimon recently highlighted primary organizational risks facing the firm (reported by The Motley Fool on October 10, 2026).</w:t>
      </w:r>
    </w:p>
    <w:p>
      <w:pPr>
        <w:pStyle w:val="Heading2"/>
        <w:spacing w:before="100" w:after="20" w:line="240" w:lineRule="auto"/>
      </w:pPr>
      <w:r>
        <w:rPr>
          <w:rFonts w:ascii="Arial" w:hAnsi="Arial" w:eastAsia="Arial"/>
          <w:b w:val="0"/>
          <w:i w:val="0"/>
          <w:sz w:val="22"/>
        </w:rPr>
        <w:t>Competitor Mentions</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crowdstrike: 0 mention(s)</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paloaltonetworks: 0 mention(s)</w:t>
      </w:r>
    </w:p>
    <w:p>
      <w:pPr>
        <w:pStyle w:val="Heading2"/>
        <w:spacing w:before="100" w:after="20" w:line="240" w:lineRule="auto"/>
      </w:pPr>
      <w:r>
        <w:rPr>
          <w:rFonts w:ascii="Arial" w:hAnsi="Arial" w:eastAsia="Arial"/>
          <w:b w:val="0"/>
          <w:i w:val="0"/>
          <w:sz w:val="22"/>
        </w:rPr>
        <w:t>Leadership Information</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Jamie Dimon:</w:t>
      </w:r>
      <w:r>
        <w:rPr>
          <w:rFonts w:ascii="Arial" w:hAnsi="Arial" w:eastAsia="Arial"/>
          <w:b w:val="0"/>
          <w:i w:val="0"/>
          <w:sz w:val="17"/>
        </w:rPr>
        <w:t xml:space="preserve"> Chairman and Chief Executive Officer</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Lori Beer:</w:t>
      </w:r>
      <w:r>
        <w:rPr>
          <w:rFonts w:ascii="Arial" w:hAnsi="Arial" w:eastAsia="Arial"/>
          <w:b w:val="0"/>
          <w:i w:val="0"/>
          <w:sz w:val="17"/>
        </w:rPr>
        <w:t xml:space="preserve"> Global Chief Information Officer</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Ashley Bacon:</w:t>
      </w:r>
      <w:r>
        <w:rPr>
          <w:rFonts w:ascii="Arial" w:hAnsi="Arial" w:eastAsia="Arial"/>
          <w:b w:val="0"/>
          <w:i w:val="0"/>
          <w:sz w:val="17"/>
        </w:rPr>
        <w:t xml:space="preserve"> Chief Risk Officer</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Jennifer Piepszak:</w:t>
      </w:r>
      <w:r>
        <w:rPr>
          <w:rFonts w:ascii="Arial" w:hAnsi="Arial" w:eastAsia="Arial"/>
          <w:b w:val="0"/>
          <w:i w:val="0"/>
          <w:sz w:val="17"/>
        </w:rPr>
        <w:t xml:space="preserve"> Chief Operating Officer</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Jeremy Barnum:</w:t>
      </w:r>
      <w:r>
        <w:rPr>
          <w:rFonts w:ascii="Arial" w:hAnsi="Arial" w:eastAsia="Arial"/>
          <w:b w:val="0"/>
          <w:i w:val="0"/>
          <w:sz w:val="17"/>
        </w:rPr>
        <w:t xml:space="preserve"> Chief Financial Officer</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Doug Petno:</w:t>
      </w:r>
      <w:r>
        <w:rPr>
          <w:rFonts w:ascii="Arial" w:hAnsi="Arial" w:eastAsia="Arial"/>
          <w:b w:val="0"/>
          <w:i w:val="0"/>
          <w:sz w:val="17"/>
        </w:rPr>
        <w:t xml:space="preserve"> Co-President &amp; CEO of Commercial &amp; Investment Bank</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Troy Rohrbaugh:</w:t>
      </w:r>
      <w:r>
        <w:rPr>
          <w:rFonts w:ascii="Arial" w:hAnsi="Arial" w:eastAsia="Arial"/>
          <w:b w:val="0"/>
          <w:i w:val="0"/>
          <w:sz w:val="17"/>
        </w:rPr>
        <w:t xml:space="preserve"> Co-President &amp; CEO of Consumer &amp; Community Banking</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Mary Callahan Erdoes:</w:t>
      </w:r>
      <w:r>
        <w:rPr>
          <w:rFonts w:ascii="Arial" w:hAnsi="Arial" w:eastAsia="Arial"/>
          <w:b w:val="0"/>
          <w:i w:val="0"/>
          <w:sz w:val="17"/>
        </w:rPr>
        <w:t xml:space="preserve"> CEO of Asset &amp; Wealth Management</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Lou Rauchenberger:</w:t>
      </w:r>
      <w:r>
        <w:rPr>
          <w:rFonts w:ascii="Arial" w:hAnsi="Arial" w:eastAsia="Arial"/>
          <w:b w:val="0"/>
          <w:i w:val="0"/>
          <w:sz w:val="17"/>
        </w:rPr>
        <w:t xml:space="preserve"> Chief Audit Executive</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Board of Directors:</w:t>
      </w:r>
      <w:r>
        <w:rPr>
          <w:rFonts w:ascii="Arial" w:hAnsi="Arial" w:eastAsia="Arial"/>
          <w:b w:val="0"/>
          <w:i w:val="0"/>
          <w:sz w:val="17"/>
        </w:rPr>
        <w:t xml:space="preserve"> 11 members, including Linda B. Bammann, Michele G. Buck, Stephen B. Burke, Alicia Boler Davis, Jamie Dimon, Alex Gorsky, Mellody Hobson, Phebe N. Novakovic, Virginia M. Rometty, Brad D. Smith, and Mark A. Weinberger.</w:t>
      </w:r>
    </w:p>
    <w:p>
      <w:pPr>
        <w:pStyle w:val="Heading2"/>
        <w:spacing w:before="100" w:after="20" w:line="240" w:lineRule="auto"/>
      </w:pPr>
      <w:r>
        <w:rPr>
          <w:rFonts w:ascii="Arial" w:hAnsi="Arial" w:eastAsia="Arial"/>
          <w:b w:val="0"/>
          <w:i w:val="0"/>
          <w:sz w:val="22"/>
        </w:rPr>
        <w:t>Product/Strategy Summary</w:t>
      </w:r>
    </w:p>
    <w:p>
      <w:pPr>
        <w:spacing w:before="0" w:after="40" w:line="240" w:lineRule="auto"/>
      </w:pPr>
      <w:r>
        <w:rPr>
          <w:rFonts w:ascii="Arial" w:hAnsi="Arial" w:eastAsia="Arial"/>
          <w:b w:val="0"/>
          <w:i w:val="0"/>
          <w:sz w:val="17"/>
        </w:rPr>
        <w:t>SentinelShield provides a real-time cybersecurity threat-detection platform that stops cyber threats in under 200 milliseconds, reducing breach risk and response time. Designed for major financial institutions, it features seamless SIEM integration, built-in banking regulatory compliance reports, and an included 24/7 managed response team to support large enterprise defense across diverse global markets.</w:t>
      </w:r>
    </w:p>
    <w:p>
      <w:pPr>
        <w:pStyle w:val="Heading2"/>
        <w:spacing w:before="100" w:after="20" w:line="240" w:lineRule="auto"/>
      </w:pPr>
      <w:r>
        <w:rPr>
          <w:rFonts w:ascii="Arial" w:hAnsi="Arial" w:eastAsia="Arial"/>
          <w:b w:val="0"/>
          <w:i w:val="0"/>
          <w:sz w:val="22"/>
        </w:rPr>
        <w:t>Talking Points</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With JPMorganChase operating across 100+ global markets with 65,000 technologists, SentinelShield can seamlessly integrate with your existing SIEM infrastructure to detect and neutralize threats in under 200 milliseconds without adding friction to operations.</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Given your proactive evaluation of emerging technology risks—such as participating in the evaluation of Anthropic's Mythos model (The Times of India, April 9, 2026)—our 24/7 managed response team provides the specialized real-time threat-stopping power needed to defend against sophisticated cyber threats.</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As executive leadership navigates critical organizational risks, SentinelShield directly reduces institutional breach risk while delivering built-in compliance reporting tailored to banking regulators.</w:t>
      </w:r>
    </w:p>
    <w:p>
      <w:pPr>
        <w:pStyle w:val="Heading2"/>
        <w:spacing w:before="100" w:after="20" w:line="240" w:lineRule="auto"/>
      </w:pPr>
      <w:r>
        <w:rPr>
          <w:rFonts w:ascii="Arial" w:hAnsi="Arial" w:eastAsia="Arial"/>
          <w:b w:val="0"/>
          <w:i w:val="0"/>
          <w:sz w:val="22"/>
        </w:rPr>
        <w:t>Article Links</w:t>
      </w:r>
    </w:p>
    <w:p>
      <w:pPr>
        <w:spacing w:before="0" w:after="40" w:line="240" w:lineRule="auto"/>
      </w:pPr>
      <w:r>
        <w:rPr>
          <w:rFonts w:ascii="Arial" w:hAnsi="Arial" w:eastAsia="Arial"/>
          <w:b/>
          <w:i w:val="0"/>
          <w:sz w:val="17"/>
        </w:rPr>
        <w:t>Company pages</w:t>
      </w:r>
    </w:p>
    <w:p>
      <w:pPr>
        <w:spacing w:before="0" w:after="20" w:line="240" w:lineRule="auto"/>
        <w:ind w:left="288" w:hanging="216"/>
      </w:pPr>
      <w:r>
        <w:rPr>
          <w:rFonts w:ascii="Arial" w:hAnsi="Arial" w:eastAsia="Arial"/>
          <w:b w:val="0"/>
          <w:i w:val="0"/>
          <w:sz w:val="17"/>
        </w:rPr>
        <w:t xml:space="preserve">•  </w:t>
      </w:r>
      <w:hyperlink r:id="rId12">
        <w:r>
          <w:rPr>
            <w:rFonts w:ascii="Arial" w:hAnsi="Arial" w:eastAsia="Arial"/>
            <w:b w:val="0"/>
            <w:i w:val="0"/>
            <w:color w:val="039BE5"/>
            <w:sz w:val="17"/>
            <w:u w:val="single"/>
          </w:rPr>
          <w:t>https://www.jpmorganchase.com</w:t>
        </w:r>
      </w:hyperlink>
    </w:p>
    <w:p>
      <w:pPr>
        <w:spacing w:before="0" w:after="20" w:line="240" w:lineRule="auto"/>
        <w:ind w:left="288" w:hanging="216"/>
      </w:pPr>
      <w:r>
        <w:rPr>
          <w:rFonts w:ascii="Arial" w:hAnsi="Arial" w:eastAsia="Arial"/>
          <w:b w:val="0"/>
          <w:i w:val="0"/>
          <w:sz w:val="17"/>
        </w:rPr>
        <w:t xml:space="preserve">•  </w:t>
      </w:r>
      <w:hyperlink r:id="rId13">
        <w:r>
          <w:rPr>
            <w:rFonts w:ascii="Arial" w:hAnsi="Arial" w:eastAsia="Arial"/>
            <w:b w:val="0"/>
            <w:i w:val="0"/>
            <w:color w:val="039BE5"/>
            <w:sz w:val="17"/>
            <w:u w:val="single"/>
          </w:rPr>
          <w:t>https://www.jpmorganchase.com/about/leadership</w:t>
        </w:r>
      </w:hyperlink>
    </w:p>
    <w:p>
      <w:pPr>
        <w:spacing w:before="0" w:after="20" w:line="240" w:lineRule="auto"/>
        <w:ind w:left="288" w:hanging="216"/>
      </w:pPr>
      <w:r>
        <w:rPr>
          <w:rFonts w:ascii="Arial" w:hAnsi="Arial" w:eastAsia="Arial"/>
          <w:b w:val="0"/>
          <w:i w:val="0"/>
          <w:sz w:val="17"/>
        </w:rPr>
        <w:t xml:space="preserve">•  </w:t>
      </w:r>
      <w:hyperlink r:id="rId14">
        <w:r>
          <w:rPr>
            <w:rFonts w:ascii="Arial" w:hAnsi="Arial" w:eastAsia="Arial"/>
            <w:b w:val="0"/>
            <w:i w:val="0"/>
            <w:color w:val="039BE5"/>
            <w:sz w:val="17"/>
            <w:u w:val="single"/>
          </w:rPr>
          <w:t>https://www.jpmorganchase.com/newsroom/from-the-desk-of</w:t>
        </w:r>
      </w:hyperlink>
    </w:p>
    <w:p>
      <w:pPr>
        <w:spacing w:before="0" w:after="20" w:line="240" w:lineRule="auto"/>
        <w:ind w:left="288" w:hanging="216"/>
      </w:pPr>
      <w:r>
        <w:rPr>
          <w:rFonts w:ascii="Arial" w:hAnsi="Arial" w:eastAsia="Arial"/>
          <w:b w:val="0"/>
          <w:i w:val="0"/>
          <w:sz w:val="17"/>
        </w:rPr>
        <w:t xml:space="preserve">•  </w:t>
      </w:r>
      <w:hyperlink r:id="rId15">
        <w:r>
          <w:rPr>
            <w:rFonts w:ascii="Arial" w:hAnsi="Arial" w:eastAsia="Arial"/>
            <w:b w:val="0"/>
            <w:i w:val="0"/>
            <w:color w:val="039BE5"/>
            <w:sz w:val="17"/>
            <w:u w:val="single"/>
          </w:rPr>
          <w:t>https://www.jpmorganchase.com/careers</w:t>
        </w:r>
      </w:hyperlink>
    </w:p>
    <w:p>
      <w:pPr>
        <w:spacing w:before="0" w:after="20" w:line="240" w:lineRule="auto"/>
        <w:ind w:left="288" w:hanging="216"/>
      </w:pPr>
      <w:r>
        <w:rPr>
          <w:rFonts w:ascii="Arial" w:hAnsi="Arial" w:eastAsia="Arial"/>
          <w:b w:val="0"/>
          <w:i w:val="0"/>
          <w:sz w:val="17"/>
        </w:rPr>
        <w:t xml:space="preserve">•  </w:t>
      </w:r>
      <w:hyperlink r:id="rId16">
        <w:r>
          <w:rPr>
            <w:rFonts w:ascii="Arial" w:hAnsi="Arial" w:eastAsia="Arial"/>
            <w:b w:val="0"/>
            <w:i w:val="0"/>
            <w:color w:val="039BE5"/>
            <w:sz w:val="17"/>
            <w:u w:val="single"/>
          </w:rPr>
          <w:t>https://www.jpmorganchase.com/careers/work-with-us</w:t>
        </w:r>
      </w:hyperlink>
    </w:p>
    <w:p>
      <w:pPr>
        <w:spacing w:before="0" w:after="20" w:line="240" w:lineRule="auto"/>
        <w:ind w:left="288" w:hanging="216"/>
      </w:pPr>
      <w:r>
        <w:rPr>
          <w:rFonts w:ascii="Arial" w:hAnsi="Arial" w:eastAsia="Arial"/>
          <w:b w:val="0"/>
          <w:i w:val="0"/>
          <w:sz w:val="17"/>
        </w:rPr>
        <w:t xml:space="preserve">•  </w:t>
      </w:r>
      <w:hyperlink r:id="rId17">
        <w:r>
          <w:rPr>
            <w:rFonts w:ascii="Arial" w:hAnsi="Arial" w:eastAsia="Arial"/>
            <w:b w:val="0"/>
            <w:i w:val="0"/>
            <w:color w:val="039BE5"/>
            <w:sz w:val="17"/>
            <w:u w:val="single"/>
          </w:rPr>
          <w:t>https://www.jpmorganchase.com/careers/grow-with-us</w:t>
        </w:r>
      </w:hyperlink>
    </w:p>
    <w:p>
      <w:pPr>
        <w:spacing w:before="0" w:after="40" w:line="240" w:lineRule="auto"/>
      </w:pPr>
      <w:r>
        <w:rPr>
          <w:rFonts w:ascii="Arial" w:hAnsi="Arial" w:eastAsia="Arial"/>
          <w:b/>
          <w:i w:val="0"/>
          <w:sz w:val="17"/>
        </w:rPr>
        <w:t>Recent news</w:t>
      </w:r>
    </w:p>
    <w:p>
      <w:pPr>
        <w:spacing w:before="0" w:after="20" w:line="240" w:lineRule="auto"/>
        <w:ind w:left="288" w:hanging="216"/>
      </w:pPr>
      <w:r>
        <w:rPr>
          <w:rFonts w:ascii="Arial" w:hAnsi="Arial" w:eastAsia="Arial"/>
          <w:b w:val="0"/>
          <w:i w:val="0"/>
          <w:sz w:val="17"/>
        </w:rPr>
        <w:t xml:space="preserve">•  </w:t>
      </w:r>
      <w:hyperlink r:id="rId18">
        <w:r>
          <w:rPr>
            <w:rFonts w:ascii="Arial" w:hAnsi="Arial" w:eastAsia="Arial"/>
            <w:b w:val="0"/>
            <w:i w:val="0"/>
            <w:color w:val="039BE5"/>
            <w:sz w:val="17"/>
            <w:u w:val="single"/>
          </w:rPr>
          <w:t>Project Glasswing: Securing critical software for the AI era</w:t>
        </w:r>
      </w:hyperlink>
      <w:r>
        <w:rPr>
          <w:rFonts w:ascii="Arial" w:hAnsi="Arial" w:eastAsia="Arial"/>
          <w:b w:val="0"/>
          <w:i w:val="0"/>
          <w:sz w:val="17"/>
        </w:rPr>
        <w:t xml:space="preserve"> (Anthropic, Tue, 07 Apr 2026)</w:t>
      </w:r>
    </w:p>
    <w:p>
      <w:pPr>
        <w:spacing w:before="0" w:after="20" w:line="240" w:lineRule="auto"/>
        <w:ind w:left="288" w:hanging="216"/>
      </w:pPr>
      <w:r>
        <w:rPr>
          <w:rFonts w:ascii="Arial" w:hAnsi="Arial" w:eastAsia="Arial"/>
          <w:b w:val="0"/>
          <w:i w:val="0"/>
          <w:sz w:val="17"/>
        </w:rPr>
        <w:t xml:space="preserve">•  </w:t>
      </w:r>
      <w:hyperlink r:id="rId19">
        <w:r>
          <w:rPr>
            <w:rFonts w:ascii="Arial" w:hAnsi="Arial" w:eastAsia="Arial"/>
            <w:b w:val="0"/>
            <w:i w:val="0"/>
            <w:color w:val="039BE5"/>
            <w:sz w:val="17"/>
            <w:u w:val="single"/>
          </w:rPr>
          <w:t>India Seeks Access to Anthropic’s Project Glasswing to Boost AI-Driven Cybersecurity Testing</w:t>
        </w:r>
      </w:hyperlink>
      <w:r>
        <w:rPr>
          <w:rFonts w:ascii="Arial" w:hAnsi="Arial" w:eastAsia="Arial"/>
          <w:b w:val="0"/>
          <w:i w:val="0"/>
          <w:sz w:val="17"/>
        </w:rPr>
        <w:t xml:space="preserve"> (Sarkaritel.com, Fri, 03 Jul 2026)</w:t>
      </w:r>
    </w:p>
    <w:p>
      <w:pPr>
        <w:spacing w:before="0" w:after="20" w:line="240" w:lineRule="auto"/>
        <w:ind w:left="288" w:hanging="216"/>
      </w:pPr>
      <w:r>
        <w:rPr>
          <w:rFonts w:ascii="Arial" w:hAnsi="Arial" w:eastAsia="Arial"/>
          <w:b w:val="0"/>
          <w:i w:val="0"/>
          <w:sz w:val="17"/>
        </w:rPr>
        <w:t xml:space="preserve">•  </w:t>
      </w:r>
      <w:hyperlink r:id="rId20">
        <w:r>
          <w:rPr>
            <w:rFonts w:ascii="Arial" w:hAnsi="Arial" w:eastAsia="Arial"/>
            <w:b w:val="0"/>
            <w:i w:val="0"/>
            <w:color w:val="039BE5"/>
            <w:sz w:val="17"/>
            <w:u w:val="single"/>
          </w:rPr>
          <w:t>Jamie Dimon Revealed 1 of the Biggest Risks to JPMorgan Chase, and This Stock Could Benefit</w:t>
        </w:r>
      </w:hyperlink>
      <w:r>
        <w:rPr>
          <w:rFonts w:ascii="Arial" w:hAnsi="Arial" w:eastAsia="Arial"/>
          <w:b w:val="0"/>
          <w:i w:val="0"/>
          <w:sz w:val="17"/>
        </w:rPr>
        <w:t xml:space="preserve"> (The Motley Fool, Sat, 10 Oct 2026)</w:t>
      </w:r>
    </w:p>
    <w:p>
      <w:pPr>
        <w:spacing w:before="0" w:after="20" w:line="240" w:lineRule="auto"/>
        <w:ind w:left="288" w:hanging="216"/>
      </w:pPr>
      <w:r>
        <w:rPr>
          <w:rFonts w:ascii="Arial" w:hAnsi="Arial" w:eastAsia="Arial"/>
          <w:b w:val="0"/>
          <w:i w:val="0"/>
          <w:sz w:val="17"/>
        </w:rPr>
        <w:t xml:space="preserve">•  </w:t>
      </w:r>
      <w:hyperlink r:id="rId21">
        <w:r>
          <w:rPr>
            <w:rFonts w:ascii="Arial" w:hAnsi="Arial" w:eastAsia="Arial"/>
            <w:b w:val="0"/>
            <w:i w:val="0"/>
            <w:color w:val="039BE5"/>
            <w:sz w:val="17"/>
            <w:u w:val="single"/>
          </w:rPr>
          <w:t>Anthropic is giving some firms early access to Claude Mythos to bolster cybersecurity defenses</w:t>
        </w:r>
      </w:hyperlink>
      <w:r>
        <w:rPr>
          <w:rFonts w:ascii="Arial" w:hAnsi="Arial" w:eastAsia="Arial"/>
          <w:b w:val="0"/>
          <w:i w:val="0"/>
          <w:sz w:val="17"/>
        </w:rPr>
        <w:t xml:space="preserve"> (Fortune, Tue, 07 Apr 2026)</w:t>
      </w:r>
    </w:p>
    <w:p>
      <w:pPr>
        <w:spacing w:before="0" w:after="20" w:line="240" w:lineRule="auto"/>
        <w:ind w:left="288" w:hanging="216"/>
      </w:pPr>
      <w:r>
        <w:rPr>
          <w:rFonts w:ascii="Arial" w:hAnsi="Arial" w:eastAsia="Arial"/>
          <w:b w:val="0"/>
          <w:i w:val="0"/>
          <w:sz w:val="17"/>
        </w:rPr>
        <w:t xml:space="preserve">•  </w:t>
      </w:r>
      <w:hyperlink r:id="rId22">
        <w:r>
          <w:rPr>
            <w:rFonts w:ascii="Arial" w:hAnsi="Arial" w:eastAsia="Arial"/>
            <w:b w:val="0"/>
            <w:i w:val="0"/>
            <w:color w:val="039BE5"/>
            <w:sz w:val="17"/>
            <w:u w:val="single"/>
          </w:rPr>
          <w:t>Anthropic's New Model, Mythos, Is So Dangerous It Isn't Being Released to the Public</w:t>
        </w:r>
      </w:hyperlink>
      <w:r>
        <w:rPr>
          <w:rFonts w:ascii="Arial" w:hAnsi="Arial" w:eastAsia="Arial"/>
          <w:b w:val="0"/>
          <w:i w:val="0"/>
          <w:sz w:val="17"/>
        </w:rPr>
        <w:t xml:space="preserve"> (SFist, Wed, 15 Apr 2026)</w:t>
      </w:r>
    </w:p>
    <w:sectPr>
      <w:headerReference r:id="rId7" w:type="default"/>
      <w:headerReference r:id="rId8" w:type="first"/>
      <w:footerReference r:id="rId9" w:type="default"/>
      <w:footerReference r:id="rId10" w:type="first"/>
      <w:headerReference w:type="even" r:id="rId11"/>
      <w:pgSz w:h="15840" w:w="12240" w:orient="portrait"/>
      <w:pgMar w:bottom="864" w:top="1440" w:left="1152" w:right="1152"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2" name="image6.png"/>
          <a:graphic>
            <a:graphicData uri="http://schemas.openxmlformats.org/drawingml/2006/picture">
              <pic:pic>
                <pic:nvPicPr>
                  <pic:cNvPr descr="footer" id="0" name="image6.png"/>
                  <pic:cNvPicPr preferRelativeResize="0"/>
                </pic:nvPicPr>
                <pic:blipFill>
                  <a:blip r:embed="rId1"/>
                  <a:srcRect b="1037" l="0" r="0" t="1037"/>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1" name="image5.png"/>
          <a:graphic>
            <a:graphicData uri="http://schemas.openxmlformats.org/drawingml/2006/picture">
              <pic:pic>
                <pic:nvPicPr>
                  <pic:cNvPr descr="footer" id="0" name="image5.png"/>
                  <pic:cNvPicPr preferRelativeResize="0"/>
                </pic:nvPicPr>
                <pic:blipFill>
                  <a:blip r:embed="rId1"/>
                  <a:srcRect b="1037" l="0" r="0" t="1037"/>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Pr>
      <w:drawing>
        <wp:anchor allowOverlap="1" behindDoc="1" distB="114300" distT="114300" distL="114300" distR="114300" hidden="0" layoutInCell="1" locked="0" relativeHeight="0" simplePos="0">
          <wp:simplePos x="0" y="0"/>
          <wp:positionH relativeFrom="page">
            <wp:posOffset>449580</wp:posOffset>
          </wp:positionH>
          <wp:positionV relativeFrom="page">
            <wp:posOffset>317500</wp:posOffset>
          </wp:positionV>
          <wp:extent cx="1984248" cy="283464"/>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84248" cy="283464"/>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4"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4.png"/>
          <a:graphic>
            <a:graphicData uri="http://schemas.openxmlformats.org/drawingml/2006/picture">
              <pic:pic>
                <pic:nvPicPr>
                  <pic:cNvPr descr="horizontal line" id="0" name="image4.png"/>
                  <pic:cNvPicPr preferRelativeResize="0"/>
                </pic:nvPicPr>
                <pic:blipFill>
                  <a:blip r:embed="rId3"/>
                  <a:srcRect b="3029" l="0" r="0" t="3029"/>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color w:val="666666"/>
        <w:sz w:val="20"/>
        <w:szCs w:val="20"/>
      </w:rPr>
      <w:drawing>
        <wp:inline distB="0" distT="0" distL="0" distR="0">
          <wp:extent cx="448056" cy="54864"/>
          <wp:effectExtent b="0" l="0" r="0" t="0"/>
          <wp:docPr descr="footer" id="6" name="image6.png"/>
          <a:graphic>
            <a:graphicData uri="http://schemas.openxmlformats.org/drawingml/2006/picture">
              <pic:pic>
                <pic:nvPicPr>
                  <pic:cNvPr descr="footer" id="0" name="image6.png"/>
                  <pic:cNvPicPr preferRelativeResize="0"/>
                </pic:nvPicPr>
                <pic:blipFill>
                  <a:blip r:embed="rId4"/>
                  <a:srcRect b="1037" l="0" r="0" t="1037"/>
                  <a:stretch>
                    <a:fillRect/>
                  </a:stretch>
                </pic:blipFill>
                <pic:spPr>
                  <a:xfrm>
                    <a:off x="0" y="0"/>
                    <a:ext cx="448056" cy="54864"/>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spacing w:before="0" w:line="276" w:lineRule="auto"/>
      <w:ind w:left="-720" w:firstLine="0"/>
      <w:rPr>
        <w:rFonts w:ascii="Arial" w:cs="Arial" w:eastAsia="Arial" w:hAnsi="Arial"/>
      </w:rPr>
    </w:pPr>
    <w:r w:rsidDel="00000000" w:rsidR="00000000" w:rsidRPr="00000000">
      <w:rPr>
        <w:rFonts w:ascii="Arial" w:cs="Arial" w:eastAsia="Arial" w:hAnsi="Arial"/>
      </w:rPr>
      <w:drawing>
        <wp:anchor allowOverlap="1" behindDoc="1" distB="114300" distT="114300" distL="114300" distR="114300" hidden="0" layoutInCell="1" locked="0" relativeHeight="0" simplePos="0">
          <wp:simplePos x="0" y="0"/>
          <wp:positionH relativeFrom="page">
            <wp:posOffset>449580</wp:posOffset>
          </wp:positionH>
          <wp:positionV relativeFrom="page">
            <wp:posOffset>253365</wp:posOffset>
          </wp:positionV>
          <wp:extent cx="1984248" cy="28346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84248" cy="283464"/>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9" name="image3.png"/>
          <a:graphic>
            <a:graphicData uri="http://schemas.openxmlformats.org/drawingml/2006/picture">
              <pic:pic>
                <pic:nvPicPr>
                  <pic:cNvPr descr="horizontal line" id="0" name="image3.png"/>
                  <pic:cNvPicPr preferRelativeResize="0"/>
                </pic:nvPicPr>
                <pic:blipFill>
                  <a:blip r:embed="rId2"/>
                  <a:srcRect b="3029" l="0" r="0" t="3029"/>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15">
    <w:pPr>
      <w:spacing w:before="0" w:line="276" w:lineRule="auto"/>
      <w:ind w:left="720" w:firstLine="720"/>
      <w:jc w:val="right"/>
      <w:rPr/>
    </w:pPr>
    <w:r w:rsidDel="00000000" w:rsidR="00000000" w:rsidRPr="00000000">
      <w:rPr>
        <w:rFonts w:ascii="Arial" w:cs="Arial" w:eastAsia="Arial" w:hAnsi="Arial"/>
        <w:b w:val="1"/>
        <w:bCs w:val="1"/>
        <w:color w:val="ff0000"/>
        <w:sz w:val="26"/>
        <w:szCs w:val="26"/>
        <w:rtl w:val="0"/>
      </w:rPr>
      <w:t xml:space="preserve"> </w:t>
    </w:r>
    <w:r w:rsidDel="00000000" w:rsidR="00000000" w:rsidRPr="00000000">
      <w:rPr>
        <w:rFonts w:ascii="Arial" w:cs="Arial" w:eastAsia="Arial" w:hAnsi="Arial"/>
        <w:b w:val="1"/>
        <w:bCs w:val="1"/>
        <w:i w:val="1"/>
        <w:iCs w:val="1"/>
        <w:color w:val="ff0000"/>
        <w:sz w:val="24"/>
        <w:szCs w:val="24"/>
        <w:rtl w:val="0"/>
      </w:rPr>
      <w:t xml:space="preserve"/>
    </w:r>
    <w:r w:rsidDel="00000000" w:rsidR="00000000" w:rsidRPr="00000000">
      <w:rPr>
        <w:rFonts w:ascii="Arial" w:cs="Arial" w:eastAsia="Arial" w:hAnsi="Arial"/>
        <w:i w:val="1"/>
        <w:iCs w:val="1"/>
        <w:color w:val="ff0000"/>
        <w:sz w:val="24"/>
        <w:szCs w:val="24"/>
        <w:rtl w:val="0"/>
      </w:rPr>
      <w:t xml:space="preserve"/>
    </w:r>
    <w:r w:rsidDel="00000000" w:rsidR="00000000" w:rsidRPr="00000000">
      <w:rPr>
        <w:rtl w:val="0"/>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440" w:line="240" w:lineRule="auto"/>
    </w:pPr>
    <w:rPr>
      <w:rFonts w:ascii="Helvetica Neue" w:cs="Helvetica Neue" w:eastAsia="Helvetica Neue" w:hAnsi="Helvetica Neue"/>
      <w:color w:val="611940"/>
      <w:sz w:val="72"/>
      <w:szCs w:val="72"/>
    </w:rPr>
  </w:style>
  <w:style w:type="paragraph" w:styleId="Heading2">
    <w:name w:val="heading 2"/>
    <w:basedOn w:val="Normal"/>
    <w:next w:val="Normal"/>
    <w:pPr>
      <w:keepNext w:val="1"/>
      <w:keepLines w:val="1"/>
      <w:spacing w:before="480" w:lineRule="auto"/>
    </w:pPr>
    <w:rPr>
      <w:rFonts w:ascii="Arial" w:cs="Arial" w:eastAsia="Arial" w:hAnsi="Arial"/>
      <w:b w:val="1"/>
      <w:bCs w:val="1"/>
      <w:color w:val="611940"/>
      <w:sz w:val="36"/>
      <w:szCs w:val="36"/>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header" Target="header3.xml"/><Relationship Id="rId12" Type="http://schemas.openxmlformats.org/officeDocument/2006/relationships/hyperlink" Target="https://www.jpmorganchase.com" TargetMode="External"/><Relationship Id="rId13" Type="http://schemas.openxmlformats.org/officeDocument/2006/relationships/hyperlink" Target="https://www.jpmorganchase.com/about/leadership" TargetMode="External"/><Relationship Id="rId14" Type="http://schemas.openxmlformats.org/officeDocument/2006/relationships/hyperlink" Target="https://www.jpmorganchase.com/newsroom/from-the-desk-of" TargetMode="External"/><Relationship Id="rId15" Type="http://schemas.openxmlformats.org/officeDocument/2006/relationships/hyperlink" Target="https://www.jpmorganchase.com/careers" TargetMode="External"/><Relationship Id="rId16" Type="http://schemas.openxmlformats.org/officeDocument/2006/relationships/hyperlink" Target="https://www.jpmorganchase.com/careers/work-with-us" TargetMode="External"/><Relationship Id="rId17" Type="http://schemas.openxmlformats.org/officeDocument/2006/relationships/hyperlink" Target="https://www.jpmorganchase.com/careers/grow-with-us" TargetMode="External"/><Relationship Id="rId18" Type="http://schemas.openxmlformats.org/officeDocument/2006/relationships/hyperlink" Target="https://news.google.com/rss/articles/CBMiS0FVX3lxTFBfQUdtMDZYaEtZV0JMSk1ZSzdqTl9mV3dQTnZYcVEzaHo4cV8yUEl2a25QMWRXenFTYUQ3NF9WakR5WXVwaDRTZC1ZYw?oc=5" TargetMode="External"/><Relationship Id="rId19" Type="http://schemas.openxmlformats.org/officeDocument/2006/relationships/hyperlink" Target="https://news.google.com/rss/articles/CBMihAFBVV95cUxQeXZLYks0UXRHWXJRdVRLaU9yZWxxaDF6Y2NNWGpJQnViZkdoVGZ5U2RSWVBZWDJ3aXZsMDhQRmhHTW5FQjczZzk2LTg2OF93ZTFaVENtV1FSbk44Z2dTX1NlN01EYzh3RWtHY25tSHBFSXRUMG0yX1B2c0JxS3NEdEx6aHU?oc=5" TargetMode="External"/><Relationship Id="rId20" Type="http://schemas.openxmlformats.org/officeDocument/2006/relationships/hyperlink" Target="https://news.google.com/rss/articles/CBMimAFBVV95cUxPYktLYm9iMXJGQlBmazE4SnJlVXE4bjlfaFNEY1R4TkZCTW94cklzLTRPSVdpdlpzbDZncmpLa0hEQURCTTZ3RklXcVBHMzI0ZDdUamhmVnJtT0FabWMwOGFwUUhaTXB3bzRjWk9kVVozdy15Y1Q4bHBtdlZtSlhfTWRLRTdQTFFPNzNocGVzbmQyZm5sa2JQZA?oc=5" TargetMode="External"/><Relationship Id="rId21" Type="http://schemas.openxmlformats.org/officeDocument/2006/relationships/hyperlink" Target="https://news.google.com/rss/articles/CBMimAFBVV95cUxPX3hScE9kOG4xU0pEWVBLTXd2YjlNWnZ2U0JmVXhsTHR5b1FaQVl3Z0h4WGViU3lVLWdsa280WWtGNEE1OFV1TDNDWWFXMlc1UDFVSjN2Qk8tT1dpRG5GRlpHUXdpR3QxV2hYcTdXTGFwNVNvMVJXekZnVWtLNTczLVlESlEyYjBUZE5TSEhiRWFaS2VHcm5pSw?oc=5" TargetMode="External"/><Relationship Id="rId22" Type="http://schemas.openxmlformats.org/officeDocument/2006/relationships/hyperlink" Target="https://news.google.com/rss/articles/CBMirwFBVV95cUxPOEtUbTZpYWtEb1NHQ3hmTFU1blI0LWJrd3BnNld2RGF3cXAzOHFCQXgxd3hhSUM1ekhkQ0drMFl2OVNJMXlCX19oMnNkR2duZFcyWVdvbVpMc2NDbjNhN0pDUTg2Mk1mVTZDUTllWk9kaFBNdk1nZWw4YnRud2k3MHFhSnFvY0VaMEJDOHN2ZVF1d0tqWk8xSXNPRGJFeTdRdlFzWVRLLXpwMG9yRDdz?oc=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4.png"/><Relationship Id="rId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