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nts/ProximaNova-bold.ttf" ContentType="application/x-font-ttf"/>
  <Override PartName="/word/fonts/ProximaNova-boldItalic.ttf" ContentType="application/x-font-ttf"/>
  <Override PartName="/word/fonts/ProximaNova-italic.ttf" ContentType="application/x-font-ttf"/>
  <Override PartName="/word/fonts/ProximaNova-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spacing w:before="0" w:after="40" w:line="240" w:lineRule="auto"/>
      </w:pPr>
      <w:r>
        <w:rPr>
          <w:rFonts w:ascii="Arial" w:hAnsi="Arial" w:eastAsia="Arial"/>
          <w:b w:val="0"/>
          <w:i w:val="0"/>
          <w:sz w:val="40"/>
        </w:rPr>
        <w:t>Account Brief: jpmorganchase.com</w:t>
      </w:r>
    </w:p>
    <w:p>
      <w:pPr>
        <w:spacing w:before="0" w:after="80" w:line="240" w:lineRule="auto"/>
      </w:pPr>
      <w:r>
        <w:rPr>
          <w:rFonts w:ascii="Arial" w:hAnsi="Arial" w:eastAsia="Arial"/>
          <w:b w:val="0"/>
          <w:i/>
          <w:sz w:val="17"/>
        </w:rPr>
        <w:t>Product: SentinelShield    |   Prepared 10/18/2026   |   Nirmala Sendilkumar</w:t>
      </w:r>
    </w:p>
    <w:p>
      <w:pPr>
        <w:pStyle w:val="Heading2"/>
        <w:spacing w:before="100" w:after="20" w:line="240" w:lineRule="auto"/>
      </w:pPr>
      <w:r>
        <w:rPr>
          <w:rFonts w:ascii="Arial" w:hAnsi="Arial" w:eastAsia="Arial"/>
          <w:b w:val="0"/>
          <w:i w:val="0"/>
          <w:sz w:val="22"/>
        </w:rPr>
        <w:t>Company Strategy</w:t>
      </w:r>
    </w:p>
    <w:p>
      <w:pPr>
        <w:spacing w:before="0" w:after="40" w:line="240" w:lineRule="auto"/>
      </w:pPr>
      <w:r>
        <w:rPr>
          <w:rFonts w:ascii="Arial" w:hAnsi="Arial" w:eastAsia="Arial"/>
          <w:b w:val="0"/>
          <w:i w:val="0"/>
          <w:sz w:val="17"/>
        </w:rPr>
        <w:t>JPMorganChase operates in over 100 markets with more than 318,000 employees, supported by approximately 65,000 global technologists and facilities such as its Plano, Texas tech hub. According to its Form 10-K filed on 2026-02-13, key operational priorities include migrating client-facing digital banking systems to the cloud, strengthening network security, managing outbound connections, and integrating acquired businesses. Additionally, the firm engaged in evaluating cutting-edge technology by testing Anthropic's AI model Mythos, as reported by The Times of India on 09 Apr 2026.</w:t>
      </w:r>
    </w:p>
    <w:p>
      <w:pPr>
        <w:pStyle w:val="Heading2"/>
        <w:spacing w:before="100" w:after="20" w:line="240" w:lineRule="auto"/>
      </w:pPr>
      <w:r>
        <w:rPr>
          <w:rFonts w:ascii="Arial" w:hAnsi="Arial" w:eastAsia="Arial"/>
          <w:b w:val="0"/>
          <w:i w:val="0"/>
          <w:sz w:val="22"/>
        </w:rPr>
        <w:t>Competitor Mentions</w:t>
      </w:r>
    </w:p>
    <w:p>
      <w:pPr>
        <w:spacing w:before="0" w:after="20" w:line="240" w:lineRule="auto"/>
        <w:ind w:left="288" w:hanging="216"/>
      </w:pPr>
      <w:r>
        <w:rPr>
          <w:rFonts w:ascii="Arial" w:hAnsi="Arial" w:eastAsia="Arial"/>
          <w:b w:val="0"/>
          <w:i w:val="0"/>
          <w:sz w:val="17"/>
        </w:rPr>
        <w:t xml:space="preserve">•  </w:t>
      </w:r>
      <w:r>
        <w:rPr>
          <w:rFonts w:ascii="Arial" w:hAnsi="Arial" w:eastAsia="Arial"/>
          <w:b w:val="0"/>
          <w:i w:val="0"/>
          <w:sz w:val="17"/>
        </w:rPr>
        <w:t>CrowdStrike: 0 mentions</w:t>
      </w:r>
    </w:p>
    <w:p>
      <w:pPr>
        <w:spacing w:before="0" w:after="20" w:line="240" w:lineRule="auto"/>
        <w:ind w:left="288" w:hanging="216"/>
      </w:pPr>
      <w:r>
        <w:rPr>
          <w:rFonts w:ascii="Arial" w:hAnsi="Arial" w:eastAsia="Arial"/>
          <w:b w:val="0"/>
          <w:i w:val="0"/>
          <w:sz w:val="17"/>
        </w:rPr>
        <w:t xml:space="preserve">•  </w:t>
      </w:r>
      <w:r>
        <w:rPr>
          <w:rFonts w:ascii="Arial" w:hAnsi="Arial" w:eastAsia="Arial"/>
          <w:b w:val="0"/>
          <w:i w:val="0"/>
          <w:sz w:val="17"/>
        </w:rPr>
        <w:t>Palo Alto Networks: 0 mentions</w:t>
      </w:r>
    </w:p>
    <w:p>
      <w:pPr>
        <w:spacing w:before="0" w:after="40" w:line="240" w:lineRule="auto"/>
      </w:pPr>
      <w:r>
        <w:rPr>
          <w:rFonts w:ascii="Arial" w:hAnsi="Arial" w:eastAsia="Arial"/>
          <w:b w:val="0"/>
          <w:i w:val="0"/>
          <w:sz w:val="17"/>
        </w:rPr>
        <w:t>In its Form 10-K filed on 2026-02-13, the firm cites risks regarding enforcement actions under antitrust or anti-competition laws across jurisdictions, but no specific commercial cybersecurity competitors are named.</w:t>
      </w:r>
    </w:p>
    <w:p>
      <w:pPr>
        <w:pStyle w:val="Heading2"/>
        <w:spacing w:before="100" w:after="20" w:line="240" w:lineRule="auto"/>
      </w:pPr>
      <w:r>
        <w:rPr>
          <w:rFonts w:ascii="Arial" w:hAnsi="Arial" w:eastAsia="Arial"/>
          <w:b w:val="0"/>
          <w:i w:val="0"/>
          <w:sz w:val="22"/>
        </w:rPr>
        <w:t>Leadership Information</w:t>
      </w:r>
    </w:p>
    <w:p>
      <w:pPr>
        <w:spacing w:before="0" w:after="20" w:line="240" w:lineRule="auto"/>
        <w:ind w:left="288" w:hanging="216"/>
      </w:pPr>
      <w:r>
        <w:rPr>
          <w:rFonts w:ascii="Arial" w:hAnsi="Arial" w:eastAsia="Arial"/>
          <w:b w:val="0"/>
          <w:i w:val="0"/>
          <w:sz w:val="17"/>
        </w:rPr>
        <w:t xml:space="preserve">•  </w:t>
      </w:r>
      <w:r>
        <w:rPr>
          <w:rFonts w:ascii="Arial" w:hAnsi="Arial" w:eastAsia="Arial"/>
          <w:b w:val="0"/>
          <w:i w:val="0"/>
          <w:sz w:val="17"/>
        </w:rPr>
        <w:t>Jamie Dimon: Chairman and Chief Executive Officer</w:t>
      </w:r>
    </w:p>
    <w:p>
      <w:pPr>
        <w:spacing w:before="0" w:after="20" w:line="240" w:lineRule="auto"/>
        <w:ind w:left="288" w:hanging="216"/>
      </w:pPr>
      <w:r>
        <w:rPr>
          <w:rFonts w:ascii="Arial" w:hAnsi="Arial" w:eastAsia="Arial"/>
          <w:b w:val="0"/>
          <w:i w:val="0"/>
          <w:sz w:val="17"/>
        </w:rPr>
        <w:t xml:space="preserve">•  </w:t>
      </w:r>
      <w:r>
        <w:rPr>
          <w:rFonts w:ascii="Arial" w:hAnsi="Arial" w:eastAsia="Arial"/>
          <w:b w:val="0"/>
          <w:i w:val="0"/>
          <w:sz w:val="17"/>
        </w:rPr>
        <w:t>Lori Beer: Global Chief Information Officer</w:t>
      </w:r>
    </w:p>
    <w:p>
      <w:pPr>
        <w:spacing w:before="0" w:after="20" w:line="240" w:lineRule="auto"/>
        <w:ind w:left="288" w:hanging="216"/>
      </w:pPr>
      <w:r>
        <w:rPr>
          <w:rFonts w:ascii="Arial" w:hAnsi="Arial" w:eastAsia="Arial"/>
          <w:b w:val="0"/>
          <w:i w:val="0"/>
          <w:sz w:val="17"/>
        </w:rPr>
        <w:t xml:space="preserve">•  </w:t>
      </w:r>
      <w:r>
        <w:rPr>
          <w:rFonts w:ascii="Arial" w:hAnsi="Arial" w:eastAsia="Arial"/>
          <w:b w:val="0"/>
          <w:i w:val="0"/>
          <w:sz w:val="17"/>
        </w:rPr>
        <w:t>Ashley Bacon: Chief Risk Officer</w:t>
      </w:r>
    </w:p>
    <w:p>
      <w:pPr>
        <w:spacing w:before="0" w:after="20" w:line="240" w:lineRule="auto"/>
        <w:ind w:left="288" w:hanging="216"/>
      </w:pPr>
      <w:r>
        <w:rPr>
          <w:rFonts w:ascii="Arial" w:hAnsi="Arial" w:eastAsia="Arial"/>
          <w:b w:val="0"/>
          <w:i w:val="0"/>
          <w:sz w:val="17"/>
        </w:rPr>
        <w:t xml:space="preserve">•  </w:t>
      </w:r>
      <w:r>
        <w:rPr>
          <w:rFonts w:ascii="Arial" w:hAnsi="Arial" w:eastAsia="Arial"/>
          <w:b w:val="0"/>
          <w:i w:val="0"/>
          <w:sz w:val="17"/>
        </w:rPr>
        <w:t>Jennifer Piepszak: Chief Operating Officer</w:t>
      </w:r>
    </w:p>
    <w:p>
      <w:pPr>
        <w:spacing w:before="0" w:after="20" w:line="240" w:lineRule="auto"/>
        <w:ind w:left="288" w:hanging="216"/>
      </w:pPr>
      <w:r>
        <w:rPr>
          <w:rFonts w:ascii="Arial" w:hAnsi="Arial" w:eastAsia="Arial"/>
          <w:b w:val="0"/>
          <w:i w:val="0"/>
          <w:sz w:val="17"/>
        </w:rPr>
        <w:t xml:space="preserve">•  </w:t>
      </w:r>
      <w:r>
        <w:rPr>
          <w:rFonts w:ascii="Arial" w:hAnsi="Arial" w:eastAsia="Arial"/>
          <w:b w:val="0"/>
          <w:i w:val="0"/>
          <w:sz w:val="17"/>
        </w:rPr>
        <w:t>Jeremy Barnum: Chief Financial Officer</w:t>
      </w:r>
    </w:p>
    <w:p>
      <w:pPr>
        <w:spacing w:before="0" w:after="20" w:line="240" w:lineRule="auto"/>
        <w:ind w:left="288" w:hanging="216"/>
      </w:pPr>
      <w:r>
        <w:rPr>
          <w:rFonts w:ascii="Arial" w:hAnsi="Arial" w:eastAsia="Arial"/>
          <w:b w:val="0"/>
          <w:i w:val="0"/>
          <w:sz w:val="17"/>
        </w:rPr>
        <w:t xml:space="preserve">•  </w:t>
      </w:r>
      <w:r>
        <w:rPr>
          <w:rFonts w:ascii="Arial" w:hAnsi="Arial" w:eastAsia="Arial"/>
          <w:b w:val="0"/>
          <w:i w:val="0"/>
          <w:sz w:val="17"/>
        </w:rPr>
        <w:t>Doug Petno: Co-President and CEO of Commercial &amp; Investment Bank</w:t>
      </w:r>
    </w:p>
    <w:p>
      <w:pPr>
        <w:spacing w:before="0" w:after="20" w:line="240" w:lineRule="auto"/>
        <w:ind w:left="288" w:hanging="216"/>
      </w:pPr>
      <w:r>
        <w:rPr>
          <w:rFonts w:ascii="Arial" w:hAnsi="Arial" w:eastAsia="Arial"/>
          <w:b w:val="0"/>
          <w:i w:val="0"/>
          <w:sz w:val="17"/>
        </w:rPr>
        <w:t xml:space="preserve">•  </w:t>
      </w:r>
      <w:r>
        <w:rPr>
          <w:rFonts w:ascii="Arial" w:hAnsi="Arial" w:eastAsia="Arial"/>
          <w:b w:val="0"/>
          <w:i w:val="0"/>
          <w:sz w:val="17"/>
        </w:rPr>
        <w:t>Troy Rohrbaugh: Co-President and CEO of Consumer &amp; Community Banking</w:t>
      </w:r>
    </w:p>
    <w:p>
      <w:pPr>
        <w:pStyle w:val="Heading2"/>
        <w:spacing w:before="100" w:after="20" w:line="240" w:lineRule="auto"/>
      </w:pPr>
      <w:r>
        <w:rPr>
          <w:rFonts w:ascii="Arial" w:hAnsi="Arial" w:eastAsia="Arial"/>
          <w:b w:val="0"/>
          <w:i w:val="0"/>
          <w:sz w:val="22"/>
        </w:rPr>
        <w:t>Product/Strategy Summary</w:t>
      </w:r>
    </w:p>
    <w:p>
      <w:pPr>
        <w:spacing w:before="0" w:after="40" w:line="240" w:lineRule="auto"/>
      </w:pPr>
      <w:r>
        <w:rPr>
          <w:rFonts w:ascii="Arial" w:hAnsi="Arial" w:eastAsia="Arial"/>
          <w:b w:val="0"/>
          <w:i w:val="0"/>
          <w:sz w:val="17"/>
        </w:rPr>
        <w:t>In its Form 10-K filed on 2026-02-13, JPMorganChase noted that past security breaches have occurred and future breaches are inevitable. The firm acknowledged that it cannot guarantee detection of all threats, noting risks that attackers could remain undetected on internal networks and compromise additional systems. These exposures are amplified by cloud migration, third-party connections, and the risk of regulatory penalties. SentinelShield directly aligns with the bank's security needs by delivering real-time threat detection in under 200 milliseconds, native SIEM integration, built-in banking regulator compliance reporting, and an included 24/7 managed response team.</w:t>
      </w:r>
    </w:p>
    <w:p>
      <w:pPr>
        <w:pStyle w:val="Heading2"/>
        <w:spacing w:before="100" w:after="20" w:line="240" w:lineRule="auto"/>
      </w:pPr>
      <w:r>
        <w:rPr>
          <w:rFonts w:ascii="Arial" w:hAnsi="Arial" w:eastAsia="Arial"/>
          <w:b w:val="0"/>
          <w:i w:val="0"/>
          <w:sz w:val="22"/>
        </w:rPr>
        <w:t>Talking Points</w:t>
      </w:r>
    </w:p>
    <w:p>
      <w:pPr>
        <w:spacing w:before="0" w:after="20" w:line="240" w:lineRule="auto"/>
        <w:ind w:left="288" w:hanging="216"/>
      </w:pPr>
      <w:r>
        <w:rPr>
          <w:rFonts w:ascii="Arial" w:hAnsi="Arial" w:eastAsia="Arial"/>
          <w:b w:val="0"/>
          <w:i w:val="0"/>
          <w:sz w:val="17"/>
        </w:rPr>
        <w:t xml:space="preserve">•  </w:t>
      </w:r>
      <w:r>
        <w:rPr>
          <w:rFonts w:ascii="Arial" w:hAnsi="Arial" w:eastAsia="Arial"/>
          <w:b/>
          <w:i w:val="0"/>
          <w:sz w:val="17"/>
        </w:rPr>
        <w:t>Rapid Threat Containment:</w:t>
      </w:r>
      <w:r>
        <w:rPr>
          <w:rFonts w:ascii="Arial" w:hAnsi="Arial" w:eastAsia="Arial"/>
          <w:b w:val="0"/>
          <w:i w:val="0"/>
          <w:sz w:val="17"/>
        </w:rPr>
        <w:t xml:space="preserve"> In your Form 10-K (filed 2026-02-13), you highlighted that sophisticated cyber attacks can remain undetected for extended periods and move across internal networks; SentinelShield detects and halts threats in under 200 milliseconds to prevent attackers from establishing lateral footholds.</w:t>
      </w:r>
    </w:p>
    <w:p>
      <w:pPr>
        <w:spacing w:before="0" w:after="20" w:line="240" w:lineRule="auto"/>
        <w:ind w:left="288" w:hanging="216"/>
      </w:pPr>
      <w:r>
        <w:rPr>
          <w:rFonts w:ascii="Arial" w:hAnsi="Arial" w:eastAsia="Arial"/>
          <w:b w:val="0"/>
          <w:i w:val="0"/>
          <w:sz w:val="17"/>
        </w:rPr>
        <w:t xml:space="preserve">•  </w:t>
      </w:r>
      <w:r>
        <w:rPr>
          <w:rFonts w:ascii="Arial" w:hAnsi="Arial" w:eastAsia="Arial"/>
          <w:b/>
          <w:i w:val="0"/>
          <w:sz w:val="17"/>
        </w:rPr>
        <w:t>Regulatory Assurance:</w:t>
      </w:r>
      <w:r>
        <w:rPr>
          <w:rFonts w:ascii="Arial" w:hAnsi="Arial" w:eastAsia="Arial"/>
          <w:b w:val="0"/>
          <w:i w:val="0"/>
          <w:sz w:val="17"/>
        </w:rPr>
        <w:t xml:space="preserve"> To address the risks of regulatory penalties and government investigations cited in your Form 10-K (filed 2026-02-13), SentinelShield provides automated, built-in compliance reporting configured specifically for banking regulators.</w:t>
      </w:r>
    </w:p>
    <w:p>
      <w:pPr>
        <w:spacing w:before="0" w:after="20" w:line="240" w:lineRule="auto"/>
        <w:ind w:left="288" w:hanging="216"/>
      </w:pPr>
      <w:r>
        <w:rPr>
          <w:rFonts w:ascii="Arial" w:hAnsi="Arial" w:eastAsia="Arial"/>
          <w:b w:val="0"/>
          <w:i w:val="0"/>
          <w:sz w:val="17"/>
        </w:rPr>
        <w:t xml:space="preserve">•  </w:t>
      </w:r>
      <w:r>
        <w:rPr>
          <w:rFonts w:ascii="Arial" w:hAnsi="Arial" w:eastAsia="Arial"/>
          <w:b/>
          <w:i w:val="0"/>
          <w:sz w:val="17"/>
        </w:rPr>
        <w:t>Support for Scale and Cloud Migration:</w:t>
      </w:r>
      <w:r>
        <w:rPr>
          <w:rFonts w:ascii="Arial" w:hAnsi="Arial" w:eastAsia="Arial"/>
          <w:b w:val="0"/>
          <w:i w:val="0"/>
          <w:sz w:val="17"/>
        </w:rPr>
        <w:t xml:space="preserve"> As your ~65,000 global technologists continue migrating digital banking services to the cloud, SentinelShield integrates directly with your existing SIEM tools and includes a 24/7 managed response team to help safeguard expanding environments.</w:t>
      </w:r>
    </w:p>
    <w:p>
      <w:pPr>
        <w:pStyle w:val="Heading2"/>
        <w:spacing w:before="100" w:after="20" w:line="240" w:lineRule="auto"/>
      </w:pPr>
      <w:r>
        <w:rPr>
          <w:rFonts w:ascii="Arial" w:hAnsi="Arial" w:eastAsia="Arial"/>
          <w:b w:val="0"/>
          <w:i w:val="0"/>
          <w:sz w:val="22"/>
        </w:rPr>
        <w:t>Article Links</w:t>
      </w:r>
    </w:p>
    <w:p>
      <w:pPr>
        <w:spacing w:before="0" w:after="40" w:line="240" w:lineRule="auto"/>
      </w:pPr>
      <w:r>
        <w:rPr>
          <w:rFonts w:ascii="Arial" w:hAnsi="Arial" w:eastAsia="Arial"/>
          <w:b/>
          <w:i w:val="0"/>
          <w:sz w:val="17"/>
        </w:rPr>
        <w:t>Company pages</w:t>
      </w:r>
    </w:p>
    <w:p>
      <w:pPr>
        <w:spacing w:before="0" w:after="20" w:line="240" w:lineRule="auto"/>
        <w:ind w:left="288" w:hanging="216"/>
      </w:pPr>
      <w:r>
        <w:rPr>
          <w:rFonts w:ascii="Arial" w:hAnsi="Arial" w:eastAsia="Arial"/>
          <w:b w:val="0"/>
          <w:i w:val="0"/>
          <w:sz w:val="17"/>
        </w:rPr>
        <w:t xml:space="preserve">•  </w:t>
      </w:r>
      <w:hyperlink r:id="rId12">
        <w:r>
          <w:rPr>
            <w:rFonts w:ascii="Arial" w:hAnsi="Arial" w:eastAsia="Arial"/>
            <w:b w:val="0"/>
            <w:i w:val="0"/>
            <w:color w:val="039BE5"/>
            <w:sz w:val="17"/>
            <w:u w:val="single"/>
          </w:rPr>
          <w:t>https://www.jpmorganchase.com</w:t>
        </w:r>
      </w:hyperlink>
    </w:p>
    <w:p>
      <w:pPr>
        <w:spacing w:before="0" w:after="20" w:line="240" w:lineRule="auto"/>
        <w:ind w:left="288" w:hanging="216"/>
      </w:pPr>
      <w:r>
        <w:rPr>
          <w:rFonts w:ascii="Arial" w:hAnsi="Arial" w:eastAsia="Arial"/>
          <w:b w:val="0"/>
          <w:i w:val="0"/>
          <w:sz w:val="17"/>
        </w:rPr>
        <w:t xml:space="preserve">•  </w:t>
      </w:r>
      <w:hyperlink r:id="rId13">
        <w:r>
          <w:rPr>
            <w:rFonts w:ascii="Arial" w:hAnsi="Arial" w:eastAsia="Arial"/>
            <w:b w:val="0"/>
            <w:i w:val="0"/>
            <w:color w:val="039BE5"/>
            <w:sz w:val="17"/>
            <w:u w:val="single"/>
          </w:rPr>
          <w:t>https://www.jpmorganchase.com/about/leadership</w:t>
        </w:r>
      </w:hyperlink>
    </w:p>
    <w:p>
      <w:pPr>
        <w:spacing w:before="0" w:after="20" w:line="240" w:lineRule="auto"/>
        <w:ind w:left="288" w:hanging="216"/>
      </w:pPr>
      <w:r>
        <w:rPr>
          <w:rFonts w:ascii="Arial" w:hAnsi="Arial" w:eastAsia="Arial"/>
          <w:b w:val="0"/>
          <w:i w:val="0"/>
          <w:sz w:val="17"/>
        </w:rPr>
        <w:t xml:space="preserve">•  </w:t>
      </w:r>
      <w:hyperlink r:id="rId14">
        <w:r>
          <w:rPr>
            <w:rFonts w:ascii="Arial" w:hAnsi="Arial" w:eastAsia="Arial"/>
            <w:b w:val="0"/>
            <w:i w:val="0"/>
            <w:color w:val="039BE5"/>
            <w:sz w:val="17"/>
            <w:u w:val="single"/>
          </w:rPr>
          <w:t>https://www.jpmorganchase.com/newsroom/from-the-desk-of</w:t>
        </w:r>
      </w:hyperlink>
    </w:p>
    <w:p>
      <w:pPr>
        <w:spacing w:before="0" w:after="20" w:line="240" w:lineRule="auto"/>
        <w:ind w:left="288" w:hanging="216"/>
      </w:pPr>
      <w:r>
        <w:rPr>
          <w:rFonts w:ascii="Arial" w:hAnsi="Arial" w:eastAsia="Arial"/>
          <w:b w:val="0"/>
          <w:i w:val="0"/>
          <w:sz w:val="17"/>
        </w:rPr>
        <w:t xml:space="preserve">•  </w:t>
      </w:r>
      <w:hyperlink r:id="rId15">
        <w:r>
          <w:rPr>
            <w:rFonts w:ascii="Arial" w:hAnsi="Arial" w:eastAsia="Arial"/>
            <w:b w:val="0"/>
            <w:i w:val="0"/>
            <w:color w:val="039BE5"/>
            <w:sz w:val="17"/>
            <w:u w:val="single"/>
          </w:rPr>
          <w:t>https://www.jpmorganchase.com/careers</w:t>
        </w:r>
      </w:hyperlink>
    </w:p>
    <w:p>
      <w:pPr>
        <w:spacing w:before="0" w:after="20" w:line="240" w:lineRule="auto"/>
        <w:ind w:left="288" w:hanging="216"/>
      </w:pPr>
      <w:r>
        <w:rPr>
          <w:rFonts w:ascii="Arial" w:hAnsi="Arial" w:eastAsia="Arial"/>
          <w:b w:val="0"/>
          <w:i w:val="0"/>
          <w:sz w:val="17"/>
        </w:rPr>
        <w:t xml:space="preserve">•  </w:t>
      </w:r>
      <w:hyperlink r:id="rId16">
        <w:r>
          <w:rPr>
            <w:rFonts w:ascii="Arial" w:hAnsi="Arial" w:eastAsia="Arial"/>
            <w:b w:val="0"/>
            <w:i w:val="0"/>
            <w:color w:val="039BE5"/>
            <w:sz w:val="17"/>
            <w:u w:val="single"/>
          </w:rPr>
          <w:t>https://www.jpmorganchase.com/careers/work-with-us</w:t>
        </w:r>
      </w:hyperlink>
    </w:p>
    <w:p>
      <w:pPr>
        <w:spacing w:before="0" w:after="20" w:line="240" w:lineRule="auto"/>
        <w:ind w:left="288" w:hanging="216"/>
      </w:pPr>
      <w:r>
        <w:rPr>
          <w:rFonts w:ascii="Arial" w:hAnsi="Arial" w:eastAsia="Arial"/>
          <w:b w:val="0"/>
          <w:i w:val="0"/>
          <w:sz w:val="17"/>
        </w:rPr>
        <w:t xml:space="preserve">•  </w:t>
      </w:r>
      <w:hyperlink r:id="rId17">
        <w:r>
          <w:rPr>
            <w:rFonts w:ascii="Arial" w:hAnsi="Arial" w:eastAsia="Arial"/>
            <w:b w:val="0"/>
            <w:i w:val="0"/>
            <w:color w:val="039BE5"/>
            <w:sz w:val="17"/>
            <w:u w:val="single"/>
          </w:rPr>
          <w:t>https://www.jpmorganchase.com/careers/grow-with-us</w:t>
        </w:r>
      </w:hyperlink>
    </w:p>
    <w:p>
      <w:pPr>
        <w:spacing w:before="0" w:after="40" w:line="240" w:lineRule="auto"/>
      </w:pPr>
      <w:r>
        <w:rPr>
          <w:rFonts w:ascii="Arial" w:hAnsi="Arial" w:eastAsia="Arial"/>
          <w:b/>
          <w:i w:val="0"/>
          <w:sz w:val="17"/>
        </w:rPr>
        <w:t>SEC filing</w:t>
      </w:r>
    </w:p>
    <w:p>
      <w:pPr>
        <w:spacing w:before="0" w:after="20" w:line="240" w:lineRule="auto"/>
        <w:ind w:left="288" w:hanging="216"/>
      </w:pPr>
      <w:r>
        <w:rPr>
          <w:rFonts w:ascii="Arial" w:hAnsi="Arial" w:eastAsia="Arial"/>
          <w:b w:val="0"/>
          <w:i w:val="0"/>
          <w:sz w:val="17"/>
        </w:rPr>
        <w:t xml:space="preserve">•  </w:t>
      </w:r>
      <w:hyperlink r:id="rId18">
        <w:r>
          <w:rPr>
            <w:rFonts w:ascii="Arial" w:hAnsi="Arial" w:eastAsia="Arial"/>
            <w:b w:val="0"/>
            <w:i w:val="0"/>
            <w:color w:val="039BE5"/>
            <w:sz w:val="17"/>
            <w:u w:val="single"/>
          </w:rPr>
          <w:t>Jpmorgan Chase &amp; Co 10-K filed 2026-02-13</w:t>
        </w:r>
      </w:hyperlink>
    </w:p>
    <w:p>
      <w:pPr>
        <w:spacing w:before="0" w:after="40" w:line="240" w:lineRule="auto"/>
      </w:pPr>
      <w:r>
        <w:rPr>
          <w:rFonts w:ascii="Arial" w:hAnsi="Arial" w:eastAsia="Arial"/>
          <w:b/>
          <w:i w:val="0"/>
          <w:sz w:val="17"/>
        </w:rPr>
        <w:t>Recent news</w:t>
      </w:r>
    </w:p>
    <w:p>
      <w:pPr>
        <w:spacing w:before="0" w:after="20" w:line="240" w:lineRule="auto"/>
        <w:ind w:left="288" w:hanging="216"/>
      </w:pPr>
      <w:r>
        <w:rPr>
          <w:rFonts w:ascii="Arial" w:hAnsi="Arial" w:eastAsia="Arial"/>
          <w:b w:val="0"/>
          <w:i w:val="0"/>
          <w:sz w:val="17"/>
        </w:rPr>
        <w:t xml:space="preserve">•  </w:t>
      </w:r>
      <w:hyperlink r:id="rId19">
        <w:r>
          <w:rPr>
            <w:rFonts w:ascii="Arial" w:hAnsi="Arial" w:eastAsia="Arial"/>
            <w:b w:val="0"/>
            <w:i w:val="0"/>
            <w:color w:val="039BE5"/>
            <w:sz w:val="17"/>
            <w:u w:val="single"/>
          </w:rPr>
          <w:t>Project Glasswing: Securing critical software for the AI era</w:t>
        </w:r>
      </w:hyperlink>
      <w:r>
        <w:rPr>
          <w:rFonts w:ascii="Arial" w:hAnsi="Arial" w:eastAsia="Arial"/>
          <w:b w:val="0"/>
          <w:i w:val="0"/>
          <w:sz w:val="17"/>
        </w:rPr>
        <w:t xml:space="preserve"> (Anthropic, Tue, 07 Apr 2026)</w:t>
      </w:r>
    </w:p>
    <w:p>
      <w:pPr>
        <w:spacing w:before="0" w:after="20" w:line="240" w:lineRule="auto"/>
        <w:ind w:left="288" w:hanging="216"/>
      </w:pPr>
      <w:r>
        <w:rPr>
          <w:rFonts w:ascii="Arial" w:hAnsi="Arial" w:eastAsia="Arial"/>
          <w:b w:val="0"/>
          <w:i w:val="0"/>
          <w:sz w:val="17"/>
        </w:rPr>
        <w:t xml:space="preserve">•  </w:t>
      </w:r>
      <w:hyperlink r:id="rId20">
        <w:r>
          <w:rPr>
            <w:rFonts w:ascii="Arial" w:hAnsi="Arial" w:eastAsia="Arial"/>
            <w:b w:val="0"/>
            <w:i w:val="0"/>
            <w:color w:val="039BE5"/>
            <w:sz w:val="17"/>
            <w:u w:val="single"/>
          </w:rPr>
          <w:t>AI Dominates RSAC Innovation Sandbox</w:t>
        </w:r>
      </w:hyperlink>
      <w:r>
        <w:rPr>
          <w:rFonts w:ascii="Arial" w:hAnsi="Arial" w:eastAsia="Arial"/>
          <w:b w:val="0"/>
          <w:i w:val="0"/>
          <w:sz w:val="17"/>
        </w:rPr>
        <w:t xml:space="preserve"> (Dark Reading, Wed, 25 Mar 2026)</w:t>
      </w:r>
    </w:p>
    <w:p>
      <w:pPr>
        <w:spacing w:before="0" w:after="20" w:line="240" w:lineRule="auto"/>
        <w:ind w:left="288" w:hanging="216"/>
      </w:pPr>
      <w:r>
        <w:rPr>
          <w:rFonts w:ascii="Arial" w:hAnsi="Arial" w:eastAsia="Arial"/>
          <w:b w:val="0"/>
          <w:i w:val="0"/>
          <w:sz w:val="17"/>
        </w:rPr>
        <w:t xml:space="preserve">•  </w:t>
      </w:r>
      <w:hyperlink r:id="rId21">
        <w:r>
          <w:rPr>
            <w:rFonts w:ascii="Arial" w:hAnsi="Arial" w:eastAsia="Arial"/>
            <w:b w:val="0"/>
            <w:i w:val="0"/>
            <w:color w:val="039BE5"/>
            <w:sz w:val="17"/>
            <w:u w:val="single"/>
          </w:rPr>
          <w:t>India Seeks Access to Anthropic’s Project Glasswing to Boost AI-Driven Cybersecurity Testing</w:t>
        </w:r>
      </w:hyperlink>
      <w:r>
        <w:rPr>
          <w:rFonts w:ascii="Arial" w:hAnsi="Arial" w:eastAsia="Arial"/>
          <w:b w:val="0"/>
          <w:i w:val="0"/>
          <w:sz w:val="17"/>
        </w:rPr>
        <w:t xml:space="preserve"> (Sarkaritel.com, Fri, 03 Jul 2026)</w:t>
      </w:r>
    </w:p>
    <w:p>
      <w:pPr>
        <w:spacing w:before="0" w:after="20" w:line="240" w:lineRule="auto"/>
        <w:ind w:left="288" w:hanging="216"/>
      </w:pPr>
      <w:r>
        <w:rPr>
          <w:rFonts w:ascii="Arial" w:hAnsi="Arial" w:eastAsia="Arial"/>
          <w:b w:val="0"/>
          <w:i w:val="0"/>
          <w:sz w:val="17"/>
        </w:rPr>
        <w:t xml:space="preserve">•  </w:t>
      </w:r>
      <w:hyperlink r:id="rId22">
        <w:r>
          <w:rPr>
            <w:rFonts w:ascii="Arial" w:hAnsi="Arial" w:eastAsia="Arial"/>
            <w:b w:val="0"/>
            <w:i w:val="0"/>
            <w:color w:val="039BE5"/>
            <w:sz w:val="17"/>
            <w:u w:val="single"/>
          </w:rPr>
          <w:t>Jamie Dimon Revealed 1 of the Biggest Risks to JPMorgan Chase, and This Stock Could Benefit</w:t>
        </w:r>
      </w:hyperlink>
      <w:r>
        <w:rPr>
          <w:rFonts w:ascii="Arial" w:hAnsi="Arial" w:eastAsia="Arial"/>
          <w:b w:val="0"/>
          <w:i w:val="0"/>
          <w:sz w:val="17"/>
        </w:rPr>
        <w:t xml:space="preserve"> (The Motley Fool, Sat, 10 Oct 2026)</w:t>
      </w:r>
    </w:p>
    <w:p>
      <w:pPr>
        <w:spacing w:before="0" w:after="20" w:line="240" w:lineRule="auto"/>
        <w:ind w:left="288" w:hanging="216"/>
      </w:pPr>
      <w:r>
        <w:rPr>
          <w:rFonts w:ascii="Arial" w:hAnsi="Arial" w:eastAsia="Arial"/>
          <w:b w:val="0"/>
          <w:i w:val="0"/>
          <w:sz w:val="17"/>
        </w:rPr>
        <w:t xml:space="preserve">•  </w:t>
      </w:r>
      <w:hyperlink r:id="rId23">
        <w:r>
          <w:rPr>
            <w:rFonts w:ascii="Arial" w:hAnsi="Arial" w:eastAsia="Arial"/>
            <w:b w:val="0"/>
            <w:i w:val="0"/>
            <w:color w:val="039BE5"/>
            <w:sz w:val="17"/>
            <w:u w:val="single"/>
          </w:rPr>
          <w:t>Anthropic is giving some firms early access to Claude Mythos to bolster cybersecurity defenses</w:t>
        </w:r>
      </w:hyperlink>
      <w:r>
        <w:rPr>
          <w:rFonts w:ascii="Arial" w:hAnsi="Arial" w:eastAsia="Arial"/>
          <w:b w:val="0"/>
          <w:i w:val="0"/>
          <w:sz w:val="17"/>
        </w:rPr>
        <w:t xml:space="preserve"> (Fortune, Tue, 07 Apr 2026)</w:t>
      </w:r>
    </w:p>
    <w:sectPr>
      <w:headerReference r:id="rId7" w:type="default"/>
      <w:headerReference r:id="rId8" w:type="first"/>
      <w:footerReference r:id="rId9" w:type="default"/>
      <w:footerReference r:id="rId10" w:type="first"/>
      <w:headerReference w:type="even" r:id="rId11"/>
      <w:pgSz w:h="15840" w:w="12240" w:orient="portrait"/>
      <w:pgMar w:bottom="864" w:top="1440" w:left="1152" w:right="1152"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footer" id="2" name="image6.png"/>
          <a:graphic>
            <a:graphicData uri="http://schemas.openxmlformats.org/drawingml/2006/picture">
              <pic:pic>
                <pic:nvPicPr>
                  <pic:cNvPr descr="footer" id="0" name="image6.png"/>
                  <pic:cNvPicPr preferRelativeResize="0"/>
                </pic:nvPicPr>
                <pic:blipFill>
                  <a:blip r:embed="rId1"/>
                  <a:srcRect b="1037" l="0" r="0" t="1037"/>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footer" id="1" name="image5.png"/>
          <a:graphic>
            <a:graphicData uri="http://schemas.openxmlformats.org/drawingml/2006/picture">
              <pic:pic>
                <pic:nvPicPr>
                  <pic:cNvPr descr="footer" id="0" name="image5.png"/>
                  <pic:cNvPicPr preferRelativeResize="0"/>
                </pic:nvPicPr>
                <pic:blipFill>
                  <a:blip r:embed="rId1"/>
                  <a:srcRect b="1037" l="0" r="0" t="1037"/>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color w:val="666666"/>
        <w:sz w:val="20"/>
        <w:szCs w:val="20"/>
      </w:rPr>
      <w:drawing>
        <wp:anchor allowOverlap="1" behindDoc="1" distB="114300" distT="114300" distL="114300" distR="114300" hidden="0" layoutInCell="1" locked="0" relativeHeight="0" simplePos="0">
          <wp:simplePos x="0" y="0"/>
          <wp:positionH relativeFrom="page">
            <wp:posOffset>449580</wp:posOffset>
          </wp:positionH>
          <wp:positionV relativeFrom="page">
            <wp:posOffset>317500</wp:posOffset>
          </wp:positionV>
          <wp:extent cx="1984248" cy="283464"/>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984248" cy="283464"/>
                  </a:xfrm>
                  <a:prstGeom prst="rect"/>
                  <a:ln/>
                </pic:spPr>
              </pic:pic>
            </a:graphicData>
          </a:graphic>
        </wp:anchor>
      </w:drawing>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-66674</wp:posOffset>
          </wp:positionV>
          <wp:extent cx="7781925" cy="95250"/>
          <wp:effectExtent b="0" l="0" r="0" t="0"/>
          <wp:wrapTopAndBottom distB="0" distT="0"/>
          <wp:docPr descr="horizontal line" id="4" name="image2.png"/>
          <a:graphic>
            <a:graphicData uri="http://schemas.openxmlformats.org/drawingml/2006/picture">
              <pic:pic>
                <pic:nvPicPr>
                  <pic:cNvPr descr="horizontal line" id="0" name="image2.png"/>
                  <pic:cNvPicPr preferRelativeResize="0"/>
                </pic:nvPicPr>
                <pic:blipFill>
                  <a:blip r:embed="rId2"/>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7" name="image4.png"/>
          <a:graphic>
            <a:graphicData uri="http://schemas.openxmlformats.org/drawingml/2006/picture">
              <pic:pic>
                <pic:nvPicPr>
                  <pic:cNvPr descr="horizontal line" id="0" name="image4.png"/>
                  <pic:cNvPicPr preferRelativeResize="0"/>
                </pic:nvPicPr>
                <pic:blipFill>
                  <a:blip r:embed="rId3"/>
                  <a:srcRect b="3029" l="0" r="0" t="3029"/>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color w:val="666666"/>
        <w:sz w:val="20"/>
        <w:szCs w:val="20"/>
      </w:rPr>
      <w:drawing>
        <wp:inline distB="0" distT="0" distL="0" distR="0">
          <wp:extent cx="448056" cy="54864"/>
          <wp:effectExtent b="0" l="0" r="0" t="0"/>
          <wp:docPr descr="footer" id="6" name="image6.png"/>
          <a:graphic>
            <a:graphicData uri="http://schemas.openxmlformats.org/drawingml/2006/picture">
              <pic:pic>
                <pic:nvPicPr>
                  <pic:cNvPr descr="footer" id="0" name="image6.png"/>
                  <pic:cNvPicPr preferRelativeResize="0"/>
                </pic:nvPicPr>
                <pic:blipFill>
                  <a:blip r:embed="rId4"/>
                  <a:srcRect b="1037" l="0" r="0" t="1037"/>
                  <a:stretch>
                    <a:fillRect/>
                  </a:stretch>
                </pic:blipFill>
                <pic:spPr>
                  <a:xfrm>
                    <a:off x="0" y="0"/>
                    <a:ext cx="448056" cy="54864"/>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spacing w:before="0" w:line="276" w:lineRule="auto"/>
      <w:ind w:left="-720" w:firstLine="0"/>
      <w:rPr>
        <w:rFonts w:ascii="Arial" w:cs="Arial" w:eastAsia="Arial" w:hAnsi="Arial"/>
      </w:rPr>
    </w:pPr>
    <w:r w:rsidDel="00000000" w:rsidR="00000000" w:rsidRPr="00000000">
      <w:rPr>
        <w:rFonts w:ascii="Arial" w:cs="Arial" w:eastAsia="Arial" w:hAnsi="Arial"/>
      </w:rPr>
      <w:drawing>
        <wp:anchor allowOverlap="1" behindDoc="1" distB="114300" distT="114300" distL="114300" distR="114300" hidden="0" layoutInCell="1" locked="0" relativeHeight="0" simplePos="0">
          <wp:simplePos x="0" y="0"/>
          <wp:positionH relativeFrom="page">
            <wp:posOffset>449580</wp:posOffset>
          </wp:positionH>
          <wp:positionV relativeFrom="page">
            <wp:posOffset>253365</wp:posOffset>
          </wp:positionV>
          <wp:extent cx="1984248" cy="283464"/>
          <wp:effectExtent b="0" l="0" r="0" t="0"/>
          <wp:wrapNone/>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984248" cy="283464"/>
                  </a:xfrm>
                  <a:prstGeom prst="rect"/>
                  <a:ln/>
                </pic:spPr>
              </pic:pic>
            </a:graphicData>
          </a:graphic>
        </wp:anchor>
      </w:drawing>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9" name="image3.png"/>
          <a:graphic>
            <a:graphicData uri="http://schemas.openxmlformats.org/drawingml/2006/picture">
              <pic:pic>
                <pic:nvPicPr>
                  <pic:cNvPr descr="horizontal line" id="0" name="image3.png"/>
                  <pic:cNvPicPr preferRelativeResize="0"/>
                </pic:nvPicPr>
                <pic:blipFill>
                  <a:blip r:embed="rId2"/>
                  <a:srcRect b="3029" l="0" r="0" t="3029"/>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15">
    <w:pPr>
      <w:spacing w:before="0" w:line="276" w:lineRule="auto"/>
      <w:ind w:left="720" w:firstLine="720"/>
      <w:jc w:val="right"/>
      <w:rPr/>
    </w:pPr>
    <w:r w:rsidDel="00000000" w:rsidR="00000000" w:rsidRPr="00000000">
      <w:rPr>
        <w:rFonts w:ascii="Arial" w:cs="Arial" w:eastAsia="Arial" w:hAnsi="Arial"/>
        <w:b w:val="1"/>
        <w:bCs w:val="1"/>
        <w:color w:val="ff0000"/>
        <w:sz w:val="26"/>
        <w:szCs w:val="26"/>
        <w:rtl w:val="0"/>
      </w:rPr>
      <w:t xml:space="preserve"> </w:t>
    </w:r>
    <w:r w:rsidDel="00000000" w:rsidR="00000000" w:rsidRPr="00000000">
      <w:rPr>
        <w:rFonts w:ascii="Arial" w:cs="Arial" w:eastAsia="Arial" w:hAnsi="Arial"/>
        <w:b w:val="1"/>
        <w:bCs w:val="1"/>
        <w:i w:val="1"/>
        <w:iCs w:val="1"/>
        <w:color w:val="ff0000"/>
        <w:sz w:val="24"/>
        <w:szCs w:val="24"/>
        <w:rtl w:val="0"/>
      </w:rPr>
      <w:t xml:space="preserve"/>
    </w:r>
    <w:r w:rsidDel="00000000" w:rsidR="00000000" w:rsidRPr="00000000">
      <w:rPr>
        <w:rFonts w:ascii="Arial" w:cs="Arial" w:eastAsia="Arial" w:hAnsi="Arial"/>
        <w:i w:val="1"/>
        <w:iCs w:val="1"/>
        <w:color w:val="ff0000"/>
        <w:sz w:val="24"/>
        <w:szCs w:val="24"/>
        <w:rtl w:val="0"/>
      </w:rPr>
      <w:t xml:space="preserve"/>
    </w:r>
    <w:r w:rsidDel="00000000" w:rsidR="00000000" w:rsidRPr="00000000">
      <w:rPr>
        <w:rtl w:val="0"/>
      </w:r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n"/>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1440" w:line="240" w:lineRule="auto"/>
    </w:pPr>
    <w:rPr>
      <w:rFonts w:ascii="Helvetica Neue" w:cs="Helvetica Neue" w:eastAsia="Helvetica Neue" w:hAnsi="Helvetica Neue"/>
      <w:color w:val="611940"/>
      <w:sz w:val="72"/>
      <w:szCs w:val="72"/>
    </w:rPr>
  </w:style>
  <w:style w:type="paragraph" w:styleId="Heading2">
    <w:name w:val="heading 2"/>
    <w:basedOn w:val="Normal"/>
    <w:next w:val="Normal"/>
    <w:pPr>
      <w:keepNext w:val="1"/>
      <w:keepLines w:val="1"/>
      <w:spacing w:before="480" w:lineRule="auto"/>
    </w:pPr>
    <w:rPr>
      <w:rFonts w:ascii="Arial" w:cs="Arial" w:eastAsia="Arial" w:hAnsi="Arial"/>
      <w:b w:val="1"/>
      <w:bCs w:val="1"/>
      <w:color w:val="611940"/>
      <w:sz w:val="36"/>
      <w:szCs w:val="36"/>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header" Target="header1.xml"/><Relationship Id="rId8" Type="http://schemas.openxmlformats.org/officeDocument/2006/relationships/header" Target="header2.xml"/><Relationship Id="rId11" Type="http://schemas.openxmlformats.org/officeDocument/2006/relationships/header" Target="header3.xml"/><Relationship Id="rId12" Type="http://schemas.openxmlformats.org/officeDocument/2006/relationships/hyperlink" Target="https://www.jpmorganchase.com" TargetMode="External"/><Relationship Id="rId13" Type="http://schemas.openxmlformats.org/officeDocument/2006/relationships/hyperlink" Target="https://www.jpmorganchase.com/about/leadership" TargetMode="External"/><Relationship Id="rId14" Type="http://schemas.openxmlformats.org/officeDocument/2006/relationships/hyperlink" Target="https://www.jpmorganchase.com/newsroom/from-the-desk-of" TargetMode="External"/><Relationship Id="rId15" Type="http://schemas.openxmlformats.org/officeDocument/2006/relationships/hyperlink" Target="https://www.jpmorganchase.com/careers" TargetMode="External"/><Relationship Id="rId16" Type="http://schemas.openxmlformats.org/officeDocument/2006/relationships/hyperlink" Target="https://www.jpmorganchase.com/careers/work-with-us" TargetMode="External"/><Relationship Id="rId17" Type="http://schemas.openxmlformats.org/officeDocument/2006/relationships/hyperlink" Target="https://www.jpmorganchase.com/careers/grow-with-us" TargetMode="External"/><Relationship Id="rId18" Type="http://schemas.openxmlformats.org/officeDocument/2006/relationships/hyperlink" Target="https://www.sec.gov/Archives/edgar/data/19617/000162828026008131/jpm-20251231.htm" TargetMode="External"/><Relationship Id="rId19" Type="http://schemas.openxmlformats.org/officeDocument/2006/relationships/hyperlink" Target="https://news.google.com/rss/articles/CBMiS0FVX3lxTFBfQUdtMDZYaEtZV0JMSk1ZSzdqTl9mV3dQTnZYcVEzaHo4cV8yUEl2a25QMWRXenFTYUQ3NF9WakR5WXVwaDRTZC1ZYw?oc=5" TargetMode="External"/><Relationship Id="rId20" Type="http://schemas.openxmlformats.org/officeDocument/2006/relationships/hyperlink" Target="https://news.google.com/rss/articles/CBMikwFBVV95cUxPOGE1RWoxeENXejJyUjQ1Y2RZdUl3UHcwekVXM0s1WGxaWTN1eDh5ZWV1SXFtekx1d1Roam4tX0xjSFVnX1FYZ1JzRnZtNnFxdUFhNTNMVmNRc19EY2RYM24zVHJ2ZVBKSDZCeWtEQzBxbEl3cnZVc3JSY2xtOGtpNFlPb0FwcmFYSENoYjBraGV4MGc?oc=5" TargetMode="External"/><Relationship Id="rId21" Type="http://schemas.openxmlformats.org/officeDocument/2006/relationships/hyperlink" Target="https://news.google.com/rss/articles/CBMihAFBVV95cUxQeXZLYks0UXRHWXJRdVRLaU9yZWxxaDF6Y2NNWGpJQnViZkdoVGZ5U2RSWVBZWDJ3aXZsMDhQRmhHTW5FQjczZzk2LTg2OF93ZTFaVENtV1FSbk44Z2dTX1NlN01EYzh3RWtHY25tSHBFSXRUMG0yX1B2c0JxS3NEdEx6aHU?oc=5" TargetMode="External"/><Relationship Id="rId22" Type="http://schemas.openxmlformats.org/officeDocument/2006/relationships/hyperlink" Target="https://news.google.com/rss/articles/CBMimAFBVV95cUxPYktLYm9iMXJGQlBmazE4SnJlVXE4bjlfaFNEY1R4TkZCTW94cklzLTRPSVdpdlpzbDZncmpLa0hEQURCTTZ3RklXcVBHMzI0ZDdUamhmVnJtT0FabWMwOGFwUUhaTXB3bzRjWk9kVVozdy15Y1Q4bHBtdlZtSlhfTWRLRTdQTFFPNzNocGVzbmQyZm5sa2JQZA?oc=5" TargetMode="External"/><Relationship Id="rId23" Type="http://schemas.openxmlformats.org/officeDocument/2006/relationships/hyperlink" Target="https://news.google.com/rss/articles/CBMimAFBVV95cUxPX3hScE9kOG4xU0pEWVBLTXd2YjlNWnZ2U0JmVXhsTHR5b1FaQVl3Z0h4WGViU3lVLWdsa280WWtGNEE1OFV1TDNDWWFXMlc1UDFVSjN2Qk8tT1dpRG5GRlpHUXdpR3QxV2hYcTdXTGFwNVNvMVJXekZnVWtLNTczLVlESlEyYjBUZE5TSEhiRWFaS2VHcm5pSw?oc=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4.png"/><Relationship Id="rId4"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