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Prompt: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paper has been submitted to the following journals and rejected at the Editorial desk.  Where else can we submit it? Do you suggest any changes? Answer in chat.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Information Fusion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Computers and Education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BJET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 &amp; Society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Transferred to Review of Education (from British Journal of Educational Technology)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Response: </w:t>
      </w:r>
    </w:p>
    <w:p w:rsidR="00000000" w:rsidDel="00000000" w:rsidP="00000000" w:rsidRDefault="00000000" w:rsidRPr="00000000" w14:paraId="0000000A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desk rejections stem primarily from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epistemological mismatch</w:t>
      </w:r>
      <w:r w:rsidDel="00000000" w:rsidR="00000000" w:rsidRPr="00000000">
        <w:rPr>
          <w:color w:val="1f1f1f"/>
          <w:rtl w:val="0"/>
        </w:rPr>
        <w:t xml:space="preserve">: top-tier journals like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Computers &amp; Education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BJET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Information Fusion</w:t>
      </w:r>
      <w:r w:rsidDel="00000000" w:rsidR="00000000" w:rsidRPr="00000000">
        <w:rPr>
          <w:color w:val="1f1f1f"/>
          <w:rtl w:val="0"/>
        </w:rPr>
        <w:t xml:space="preserve"> look for either large-sample empirical trials (control vs. experimental groups) or core technical algorithm novelties. A qualitative $N=1$ autoethnographic case study conducted by parents on their child in a homeschooling setup will get desk-rejected if pitched as a standard large-cohort empirical study.</w:t>
      </w:r>
    </w:p>
    <w:p w:rsidR="00000000" w:rsidDel="00000000" w:rsidP="00000000" w:rsidRDefault="00000000" w:rsidRPr="00000000" w14:paraId="0000000B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Positioning the paper appropriately and submitting to the right venues will dramatically improve its trajectory.</w:t>
      </w:r>
    </w:p>
    <w:p w:rsidR="00000000" w:rsidDel="00000000" w:rsidP="00000000" w:rsidRDefault="00000000" w:rsidRPr="00000000" w14:paraId="0000000D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bxbvp8v7n7db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Recommended Journal Venues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1: Pragmatic EdTech &amp; Practitioner Journals (Best Fit)</w:t>
      </w:r>
    </w:p>
    <w:p w:rsidR="00000000" w:rsidDel="00000000" w:rsidP="00000000" w:rsidRDefault="00000000" w:rsidRPr="00000000" w14:paraId="00000010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Education and Information Technologies (EAIT - Springer):</w:t>
      </w:r>
      <w:r w:rsidDel="00000000" w:rsidR="00000000" w:rsidRPr="00000000">
        <w:rPr>
          <w:color w:val="1f1f1f"/>
          <w:rtl w:val="0"/>
        </w:rPr>
        <w:t xml:space="preserve"> Welcomes rich qualitative case studies, homeschool interventions, and emerging technology pedagogical frameworks.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Hybrid. IF: 7.2; </w:t>
      </w:r>
      <w:r w:rsidDel="00000000" w:rsidR="00000000" w:rsidRPr="00000000">
        <w:rPr>
          <w:color w:val="222222"/>
          <w:sz w:val="21"/>
          <w:szCs w:val="21"/>
          <w:shd w:fill="eff6fb" w:val="clear"/>
          <w:rtl w:val="0"/>
        </w:rPr>
        <w:t xml:space="preserve">first decision (median) ,</w:t>
      </w:r>
      <w:r w:rsidDel="00000000" w:rsidR="00000000" w:rsidRPr="00000000">
        <w:rPr>
          <w:color w:val="222222"/>
          <w:sz w:val="21"/>
          <w:szCs w:val="21"/>
          <w:shd w:fill="eff6fb" w:val="clear"/>
          <w:rtl w:val="0"/>
        </w:rPr>
        <w:t xml:space="preserve"> 29 days; abstract 250 words, manuscript no word limit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Roboto" w:cs="Roboto" w:eastAsia="Roboto" w:hAnsi="Roboto"/>
          <w:color w:val="444746"/>
          <w:sz w:val="21"/>
          <w:szCs w:val="21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https://link.springer.com/journal/10639/aims-and-scope</w:t>
        </w:r>
      </w:hyperlink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Journal of Information Technology Education: Innovations in Practice (JITE:IIP):</w:t>
      </w:r>
      <w:r w:rsidDel="00000000" w:rsidR="00000000" w:rsidRPr="00000000">
        <w:rPr>
          <w:color w:val="1f1f1f"/>
          <w:rtl w:val="0"/>
        </w:rPr>
        <w:t xml:space="preserve"> Specifically seeks novel, well-documented instructional designs, unique case reports, and exploratory learning setups.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Open access; IF: 1.9)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Interactive Learning Environments (Taylor &amp; Francis):</w:t>
      </w:r>
      <w:r w:rsidDel="00000000" w:rsidR="00000000" w:rsidRPr="00000000">
        <w:rPr>
          <w:color w:val="1f1f1f"/>
          <w:rtl w:val="0"/>
        </w:rPr>
        <w:t xml:space="preserve"> Highly receptive to human-AI interaction frameworks and digital pedagogy workflow descriptions.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Hybrid; IF: 6.7 ; 12 days avg. (first decision); Wordlimit: 8000 including everything)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Roboto" w:cs="Roboto" w:eastAsia="Roboto" w:hAnsi="Roboto"/>
          <w:color w:val="444746"/>
          <w:sz w:val="21"/>
          <w:szCs w:val="21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https://www.tandfonline.com/journals/nile20/about-this-journal#aims-and-scope</w:t>
        </w:r>
      </w:hyperlink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2: Qualitative, Alternative, &amp; Innovative Pedagogy Journals</w:t>
      </w:r>
    </w:p>
    <w:p w:rsidR="00000000" w:rsidDel="00000000" w:rsidP="00000000" w:rsidRDefault="00000000" w:rsidRPr="00000000" w14:paraId="0000001A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Qualitative Research in Education (QRE):</w:t>
      </w:r>
      <w:r w:rsidDel="00000000" w:rsidR="00000000" w:rsidRPr="00000000">
        <w:rPr>
          <w:color w:val="1f1f1f"/>
          <w:rtl w:val="0"/>
        </w:rPr>
        <w:t xml:space="preserve"> Receptive to autoethnographic, parent-practitioner, and single-case longitudinal studies.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Open access; IF:1.5)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International Journal of Progressive Education (IJPE):</w:t>
      </w:r>
      <w:r w:rsidDel="00000000" w:rsidR="00000000" w:rsidRPr="00000000">
        <w:rPr>
          <w:color w:val="1f1f1f"/>
          <w:rtl w:val="0"/>
        </w:rPr>
        <w:t xml:space="preserve"> Open to non-traditional schooling models (homeschooling, personalized 1-on-1 environments, constructionist methods).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Open access; IF: 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Journal of Interactive Technology and Pedagogy (CUNY):</w:t>
      </w:r>
      <w:r w:rsidDel="00000000" w:rsidR="00000000" w:rsidRPr="00000000">
        <w:rPr>
          <w:color w:val="1f1f1f"/>
          <w:rtl w:val="0"/>
        </w:rPr>
        <w:t xml:space="preserve"> Emphasizes open-access, creative classroom experiments, and digital tool curation.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Open access; IF: 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3: Early Childhood &amp; Special Focus</w:t>
      </w:r>
    </w:p>
    <w:p w:rsidR="00000000" w:rsidDel="00000000" w:rsidP="00000000" w:rsidRDefault="00000000" w:rsidRPr="00000000" w14:paraId="00000022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Early Childhood Education Journal (Springer):</w:t>
      </w:r>
      <w:r w:rsidDel="00000000" w:rsidR="00000000" w:rsidRPr="00000000">
        <w:rPr>
          <w:color w:val="1f1f1f"/>
          <w:rtl w:val="0"/>
        </w:rPr>
        <w:t xml:space="preserve"> Strong focus on foundational learning, though the framing must lean heavier on early childhood developmental readiness than pure technical CS tools.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Hybrid; IF:1.9;  15 days (first decision); 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222222"/>
          <w:shd w:fill="eff6fb" w:val="clear"/>
          <w:rtl w:val="0"/>
        </w:rPr>
        <w:t xml:space="preserve">abstract 150–250 words, manuscript 5,000 and 7,500 words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Roboto" w:cs="Roboto" w:eastAsia="Roboto" w:hAnsi="Roboto"/>
          <w:color w:val="444746"/>
          <w:sz w:val="21"/>
          <w:szCs w:val="21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https://link.springer.com/journal/10643</w:t>
        </w:r>
      </w:hyperlink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International Journal of Child-Computer Interaction (Elsevier):</w:t>
      </w:r>
      <w:r w:rsidDel="00000000" w:rsidR="00000000" w:rsidRPr="00000000">
        <w:rPr>
          <w:color w:val="1f1f1f"/>
          <w:rtl w:val="0"/>
        </w:rPr>
        <w:t xml:space="preserve"> Excellent fit if you emphasize the UI/interaction design (E-ink tablet projection, human-in-the-loop verification, interactive Jupyter setups). (Hybrid; IF: ~4; 8 days (first decision); </w:t>
      </w:r>
      <w:r w:rsidDel="00000000" w:rsidR="00000000" w:rsidRPr="00000000">
        <w:rPr>
          <w:color w:val="222222"/>
          <w:shd w:fill="eff6fb" w:val="clear"/>
          <w:rtl w:val="0"/>
        </w:rPr>
        <w:t xml:space="preserve">abstract 250 words, manuscript no word limit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https://www.sciencedirect.com/journal/international-journal-of-child-computer-interaction</w:t>
        </w:r>
      </w:hyperlink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jd8z9zgclzpx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Strategic Changes to Overcome Desk Rejections</w:t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A. Explicitly Frame the Methodology ($N=1$ Autoethnographic / Action Research)</w:t>
      </w:r>
    </w:p>
    <w:p w:rsidR="00000000" w:rsidDel="00000000" w:rsidP="00000000" w:rsidRDefault="00000000" w:rsidRPr="00000000" w14:paraId="0000002B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Issue:</w:t>
      </w:r>
      <w:r w:rsidDel="00000000" w:rsidR="00000000" w:rsidRPr="00000000">
        <w:rPr>
          <w:color w:val="1f1f1f"/>
          <w:rtl w:val="0"/>
        </w:rPr>
        <w:t xml:space="preserve"> Editors see claims like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"scalable pedagogy"</w:t>
      </w:r>
      <w:r w:rsidDel="00000000" w:rsidR="00000000" w:rsidRPr="00000000">
        <w:rPr>
          <w:color w:val="1f1f1f"/>
          <w:rtl w:val="0"/>
        </w:rPr>
        <w:t xml:space="preserve"> or general cognitive claims tested on a single child and reject due to sample size.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color w:val="1f1f1f"/>
          <w:rtl w:val="0"/>
        </w:rPr>
        <w:t xml:space="preserve"> Frame the study methodologically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"Design-Based Research (DBR)"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"Practitioner Autoethnography / Exploratory Single-Case Study"</w:t>
      </w:r>
      <w:r w:rsidDel="00000000" w:rsidR="00000000" w:rsidRPr="00000000">
        <w:rPr>
          <w:color w:val="1f1f1f"/>
          <w:rtl w:val="0"/>
        </w:rPr>
        <w:t xml:space="preserve">. Clarify in the Abstract and Section 1 that the value lies in a proof-of-concept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framework specification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interaction blueprint</w:t>
      </w:r>
      <w:r w:rsidDel="00000000" w:rsidR="00000000" w:rsidRPr="00000000">
        <w:rPr>
          <w:color w:val="1f1f1f"/>
          <w:rtl w:val="0"/>
        </w:rPr>
        <w:t xml:space="preserve">, not a statistically generalized population trial.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B. Soften Broad Generalizability Claims</w:t>
      </w:r>
    </w:p>
    <w:p w:rsidR="00000000" w:rsidDel="00000000" w:rsidP="00000000" w:rsidRDefault="00000000" w:rsidRPr="00000000" w14:paraId="00000031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Replace assertions that this single framework directly proves general scalability to higher education with nuanced framing: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“This exploratory case highlights foundational human-AI interaction patterns that offer transferable design principles for higher education and lifelong learning.”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C. Address the "Parent-Researcher" Dynamic &amp; Ethics Transparently</w:t>
      </w:r>
    </w:p>
    <w:p w:rsidR="00000000" w:rsidDel="00000000" w:rsidP="00000000" w:rsidRDefault="00000000" w:rsidRPr="00000000" w14:paraId="00000035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 Section 1.5 and Methods, dedicate a paragraph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researcher reflexivity and positionality</w:t>
      </w:r>
      <w:r w:rsidDel="00000000" w:rsidR="00000000" w:rsidRPr="00000000">
        <w:rPr>
          <w:color w:val="1f1f1f"/>
          <w:rtl w:val="0"/>
        </w:rPr>
        <w:t xml:space="preserve">. Transparently discuss how authoring parents mitigated bias during observation and verification, and address the ethical considerations/consent protocols involved in documenting early childhood learning.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D. Craft an Impactful Cover Letter</w:t>
      </w:r>
    </w:p>
    <w:p w:rsidR="00000000" w:rsidDel="00000000" w:rsidP="00000000" w:rsidRDefault="00000000" w:rsidRPr="00000000" w14:paraId="00000039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Explain upfront to the Editor: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This is a longitudinal, qualitative design study demonstrating the mechanics of LLM-scaffolded curriculum synthesis in an authentic setting.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All supporting open-source curriculum materials, video repositories, and codebases are fully reproducible and publicly archived.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work addresses the urgent theoretical concern of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cognitive debt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verifier literacy</w:t>
      </w:r>
      <w:r w:rsidDel="00000000" w:rsidR="00000000" w:rsidRPr="00000000">
        <w:rPr>
          <w:color w:val="1f1f1f"/>
          <w:rtl w:val="0"/>
        </w:rPr>
        <w:t xml:space="preserve"> in generative AI integration.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ciencedirect.com/journal/international-journal-of-child-computer-interaction" TargetMode="External"/><Relationship Id="rId9" Type="http://schemas.openxmlformats.org/officeDocument/2006/relationships/hyperlink" Target="https://link.springer.com/journal/1064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.springer.com/journal/10639/aims-and-scope" TargetMode="External"/><Relationship Id="rId8" Type="http://schemas.openxmlformats.org/officeDocument/2006/relationships/hyperlink" Target="https://www.tandfonline.com/journals/nile20/about-this-journal#aims-and-sco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M17bL9Ai+Z6oh2TF1gHbGYM4w==">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