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Response to Reviewers for HERO-S</w:t>
      </w:r>
    </w:p>
    <w:p>
      <w:r>
        <w:t>Dear Chairs and Reviewers,</w:t>
      </w:r>
    </w:p>
    <w:p>
      <w:r>
        <w:t>Thank you for the detailed feedback. We made a focused revision that preserves the scope of a master's-level conference paper while addressing the main technical risks: scheduler value, QPU proxy limitations, energy/SLA framing, classical baselines, and AIoT venue fit. The manuscript is now titled HERO-S: QPU-Aware Energy-Latency Orchestration for AIoT Intrusion Detection and presents HERO-S as a QPU-aware edge-cloud scheduler with explicit utility, queue-time, and energy constraints.</w:t>
      </w:r>
    </w:p>
    <w:p>
      <w:pPr>
        <w:pStyle w:val="Heading2"/>
      </w:pPr>
      <w:r>
        <w:t>Reviewer 1</w:t>
      </w:r>
    </w:p>
    <w:p>
      <w:pPr>
        <w:pStyle w:val="Heading3"/>
      </w:pPr>
      <w:r>
        <w:t>Comment 1. Add real datasets, multi-run statistics, and stronger validation.</w:t>
      </w:r>
    </w:p>
    <w:p>
      <w:r>
        <w:t>Response. We replaced the earlier weak validation with four real IDS datasets and 30-seed experiments.</w:t>
      </w:r>
    </w:p>
    <w:p>
      <w:r>
        <w:t>Evidence. Section IV-A reports TON_IoT, NSL-KDD, CICIDS2017, and IoT-23. Section V reports 30-seed means, HERO-S F1 standard deviations in the scheduler table, Wilcoxon tests, and a new F1 boxplot figure.</w:t>
      </w:r>
    </w:p>
    <w:p>
      <w:pPr>
        <w:pStyle w:val="Heading3"/>
      </w:pPr>
      <w:r>
        <w:t>Comment 2. Improve the energy model and identify measured versus modeled energy.</w:t>
      </w:r>
    </w:p>
    <w:p>
      <w:r>
        <w:t>Response. We clarified the telemetry source for each route. Edge/cloud energy uses RAPL/NVML when available and otherwise a labeled fallback model; QPU infrastructure energy is modeled only and used for sensitivity analysis.</w:t>
      </w:r>
    </w:p>
    <w:p>
      <w:r>
        <w:t>Evidence. Section IV-C and the new route-cost/telemetry table report latency, energy, and source for edge CPU, cloud CPU/GPU, and QPU-capable routes. Section VI explicitly states that QPU energy is not per-job facility telemetry.</w:t>
      </w:r>
    </w:p>
    <w:p>
      <w:pPr>
        <w:pStyle w:val="Heading3"/>
      </w:pPr>
      <w:r>
        <w:t>Comment 3. Provide statistical evidence beyond a single run.</w:t>
      </w:r>
    </w:p>
    <w:p>
      <w:r>
        <w:t>Response. We added paired Wilcoxon signed-rank tests and a boxplot distribution figure.</w:t>
      </w:r>
    </w:p>
    <w:p>
      <w:r>
        <w:t>Evidence. The scheduler results table reports p-values for HERO-S versus the uncertainty cascade. Fig. 4 shows 30-seed F1 distributions for edge-only, cascade, and HERO-S.</w:t>
      </w:r>
    </w:p>
    <w:p>
      <w:pPr>
        <w:pStyle w:val="Heading2"/>
      </w:pPr>
      <w:r>
        <w:t>Reviewer 2</w:t>
      </w:r>
    </w:p>
    <w:p>
      <w:pPr>
        <w:pStyle w:val="Heading3"/>
      </w:pPr>
      <w:r>
        <w:t>Comment 1. The validation was weak and lacked real datasets.</w:t>
      </w:r>
    </w:p>
    <w:p>
      <w:r>
        <w:t>Response. We now evaluate on TON_IoT, NSL-KDD, CICIDS2017, and IoT-23, with 30 random seeds and stratified sampling.</w:t>
      </w:r>
    </w:p>
    <w:p>
      <w:r>
        <w:t>Evidence. Section IV-A gives dataset sizes and class ratios. Section IV describes sampling and leakage-field removal for IoT-23.</w:t>
      </w:r>
    </w:p>
    <w:p>
      <w:pPr>
        <w:pStyle w:val="Heading3"/>
      </w:pPr>
      <w:r>
        <w:t>Comment 2. Classical baselines were insufficient.</w:t>
      </w:r>
    </w:p>
    <w:p>
      <w:r>
        <w:t>Response. We added a complete baseline table with Logistic Regression, RBF-SVM, Random Forest, Histogram Gradient Boosting, MLP, and the reduced-kernel proxy.</w:t>
      </w:r>
    </w:p>
    <w:p>
      <w:r>
        <w:t>Evidence. The IDS baseline table reports accuracy, F1, recall, FPR, FNR, ROC-AUC, and PR-AUC for every model on every dataset, with proxy F1 standard deviations.</w:t>
      </w:r>
    </w:p>
    <w:p>
      <w:pPr>
        <w:pStyle w:val="Heading3"/>
      </w:pPr>
      <w:r>
        <w:t>Comment 3. The paper should not claim quantum advantage.</w:t>
      </w:r>
    </w:p>
    <w:p>
      <w:r>
        <w:t>Response. We removed quantum-advantage framing. The QPU route is treated as an optional QPU-compatible path whose use must be justified by utility, confidence, queue time, and energy.</w:t>
      </w:r>
    </w:p>
    <w:p>
      <w:r>
        <w:t>Evidence. Section IV-B states that the reduced-kernel route is a classical proxy and not a hardware QSVM result. Section V-D states that the Qiskit subset is feasibility-only.</w:t>
      </w:r>
    </w:p>
    <w:p>
      <w:pPr>
        <w:pStyle w:val="Heading3"/>
      </w:pPr>
      <w:r>
        <w:t>Comment 4. The scheduler contribution appeared weak.</w:t>
      </w:r>
    </w:p>
    <w:p>
      <w:r>
        <w:t>Response. We added the closest classical baseline: an edge-cloud uncertainty cascade. HERO-S now outperforms this cascade under the 2.5 ms/sample average gateway budget.</w:t>
      </w:r>
    </w:p>
    <w:p>
      <w:r>
        <w:t>Evidence. The scheduler results table shows HERO-S versus edge-only, uncertainty cascade, cloud-only, and static QPU. HERO-S improves over the cascade on the three nontrivial datasets and achieves marginal additional F1 on IoT-23 where all policies are near-saturated, with Wilcoxon p-values: TON_IoT 1.86e-9, NSL-KDD 3.54e-8, CICIDS2017 4.66e-8, and IoT-23 1.60e-2. We also explain the NSL-KDD case where the fixed uncertainty cascade can underperform edge-only because its escalated subset is not consistently improved by cloud inference.</w:t>
      </w:r>
    </w:p>
    <w:p>
      <w:pPr>
        <w:pStyle w:val="Heading2"/>
      </w:pPr>
      <w:r>
        <w:t>Reviewer 3</w:t>
      </w:r>
    </w:p>
    <w:p>
      <w:pPr>
        <w:pStyle w:val="Heading3"/>
      </w:pPr>
      <w:r>
        <w:t>Comment 1. Title/content mismatch and cybersecurity contribution.</w:t>
      </w:r>
    </w:p>
    <w:p>
      <w:r>
        <w:t>Response. We retitled and reframed the paper as QPU-aware AIoT intrusion-detection orchestration. We added explicit security metadata: severity, asset criticality, uncertainty, confidence, deadline, queue time, and energy.</w:t>
      </w:r>
    </w:p>
    <w:p>
      <w:r>
        <w:t>Evidence. The title is now QPU-aware rather than broadly hybrid quantum-classical. Section II-B and the scheduler section define the security metadata and routing role.</w:t>
      </w:r>
    </w:p>
    <w:p>
      <w:pPr>
        <w:pStyle w:val="Heading3"/>
      </w:pPr>
      <w:r>
        <w:t>Comment 2. Venue mismatch with AIoT.</w:t>
      </w:r>
    </w:p>
    <w:p>
      <w:r>
        <w:t>Response. We added an AIoT edge-cloud deployment model and data-plane discussion. The QPU is explicitly remote and optional, while IoT devices and edge gateways remain lightweight.</w:t>
      </w:r>
    </w:p>
    <w:p>
      <w:r>
        <w:t>Evidence. Section II-A describes devices, edge gateways, MQTT/CoAP/HTTP or broker-based telemetry export, cloud inference, and optional remote QPU service. Fig. 1 shows the edge-cloud-QPU architecture.</w:t>
      </w:r>
    </w:p>
    <w:p>
      <w:pPr>
        <w:pStyle w:val="Heading3"/>
      </w:pPr>
      <w:r>
        <w:t>Comment 3. QPU energy dominance and QPU proxy limitations.</w:t>
      </w:r>
    </w:p>
    <w:p>
      <w:r>
        <w:t>Response. We now present static QPU routing as a stress-test baseline and state that the reduced-kernel proxy is a scheduler-scale proxy rather than a hardware result. HERO-S is evaluated by whether it admits or suppresses QPU-capable routing according to utility, queue time, and confidence.</w:t>
      </w:r>
    </w:p>
    <w:p>
      <w:r>
        <w:t>Evidence. Section V-C reports that static QPU routing has EDP 5.85e5 at 250 ms queue time. Section V-D labels the Qiskit subset as feasibility validation only.</w:t>
      </w:r>
    </w:p>
    <w:p>
      <w:pPr>
        <w:pStyle w:val="Heading3"/>
      </w:pPr>
      <w:r>
        <w:t>Comment 4. QPU call rate is zero at 250 ms queue time.</w:t>
      </w:r>
    </w:p>
    <w:p>
      <w:r>
        <w:t>Response. We explicitly explain that this is correct scheduler behavior, not disappearance of the QPU component. HERO-S has the ability to select QPU-capable execution when queue and confidence permit, but suppresses it when the current proxy is weaker than classical alternatives or queue time violates the edge budget.</w:t>
      </w:r>
    </w:p>
    <w:p>
      <w:r>
        <w:t>Evidence. Section V-D and the queue-sensitivity figure report queue sensitivity: at zero queue, HERO-S invokes the QPU-capable path for 0.001 of TON_IoT samples and 0.010 of NSL-KDD samples; at 50 ms these rates drop; at 250 ms they become zero. Section VI now frames this as QPU-ready orchestration: the same utility gates admit QPU-capable routes when queue and confidence are favorable and suppress them when the route is low utility.</w:t>
      </w:r>
    </w:p>
    <w:p>
      <w:pPr>
        <w:pStyle w:val="Heading3"/>
      </w:pPr>
      <w:r>
        <w:t>Comment 5. The 2.5 ms/sample SLA lacked support.</w:t>
      </w:r>
    </w:p>
    <w:p>
      <w:r>
        <w:t>Response. We changed the wording from a universal SLA to a representative average gateway compute budget for latency-sensitive edge operation. We also added edge/MEC citations and separately report sampled-deadline violation rates.</w:t>
      </w:r>
    </w:p>
    <w:p>
      <w:r>
        <w:t>Evidence. Section IV-C cites edge and MEC work and states that the 2.5 ms/sample number is a stress-test budget, not a universal hard real-time standard. The scheduler results table reports sampled-deadline violation rates.</w:t>
      </w:r>
    </w:p>
    <w:p>
      <w:pPr>
        <w:pStyle w:val="Heading3"/>
      </w:pPr>
      <w:r>
        <w:t>Comment 6. Related work was too thin.</w:t>
      </w:r>
    </w:p>
    <w:p>
      <w:r>
        <w:t>Response. We expanded Related Work into four focused paragraphs: IDS datasets/metrics, deep-learning and IoT IDS, edge-cloud orchestration, and quantum-aware security workflows.</w:t>
      </w:r>
    </w:p>
    <w:p>
      <w:r>
        <w:t>Evidence. Section VII adds citations to AIoT and IIoT security surveys, edge intelligence, cloud-edge IoT IDS, federated IoT IDS, Kitsune, N-BaIoT, software-defined IoT IDS, and quantum-ML IDS work.</w:t>
      </w:r>
    </w:p>
    <w:p>
      <w:pPr>
        <w:pStyle w:val="Heading2"/>
      </w:pPr>
      <w:r>
        <w:t>Summary of Current Artifacts</w:t>
      </w:r>
    </w:p>
    <w:p>
      <w:pPr>
        <w:pStyle w:val="ListBullet"/>
      </w:pPr>
      <w:r>
        <w:t>`main.pdf`: revised IEEE manuscript, 7 pages.</w:t>
      </w:r>
    </w:p>
    <w:p>
      <w:pPr>
        <w:pStyle w:val="ListBullet"/>
      </w:pPr>
      <w:r>
        <w:t>`main.tex`: revised LaTeX source.</w:t>
      </w:r>
    </w:p>
    <w:p>
      <w:pPr>
        <w:pStyle w:val="ListBullet"/>
      </w:pPr>
      <w:r>
        <w:t>`AIIOT_HEROS_SUBMISSION_READY.docx`: Word manuscript copy.</w:t>
      </w:r>
    </w:p>
    <w:p>
      <w:pPr>
        <w:pStyle w:val="ListBullet"/>
      </w:pPr>
      <w:r>
        <w:t>`RESPONSE_TO_REVIEWERS_AIIOT_UPDATED.docx`: this response letter.</w:t>
      </w:r>
    </w:p>
    <w:p>
      <w:pPr>
        <w:pStyle w:val="ListBullet"/>
      </w:pPr>
      <w:r>
        <w:t>`figures/hero_s_f1_boxplot.png`: new 30-seed distribution figure.</w:t>
      </w:r>
    </w:p>
    <w:p>
      <w:pPr>
        <w:pStyle w:val="ListBullet"/>
      </w:pPr>
      <w:r>
        <w:t>`additional_aiiot_analysis/v2_model_summary.csv`: full baseline metrics.</w:t>
      </w:r>
    </w:p>
    <w:p>
      <w:pPr>
        <w:pStyle w:val="ListBullet"/>
      </w:pPr>
      <w:r>
        <w:t>`additional_aiiot_analysis/v2_scheduler_summary.csv`: route, SLA, energy, and EDP metrics.</w:t>
      </w:r>
    </w:p>
    <w:p>
      <w:pPr>
        <w:pStyle w:val="ListBullet"/>
      </w:pPr>
      <w:r>
        <w:t>`additional_aiiot_analysis/v2_wilcoxon_tests.csv`: paired statistical tests.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