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A Hybrid Quantum-Classical AI Framework for Cybersecurity Workloads: CPU+GPU+QPU Orchestration with Per-Unit Energy and Runtime Characterization</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r>
      <w:r>
        <w:rPr>
          <w:sz w:val="18"/>
          <w:szCs w:val="18"/>
        </w:rPr>
        <w:t>City, Country</w:t>
      </w:r>
      <w:r>
        <w:rPr>
          <w:sz w:val="18"/>
          <w:szCs w:val="18"/>
        </w:rPr>
        <w:br/>
      </w:r>
      <w:r>
        <w:rPr>
          <w:sz w:val="18"/>
          <w:szCs w:val="18"/>
        </w:rPr>
        <w:t>email@university.edu</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—Near-term quantum computing for cybersecurity is necessarily hybrid: classical CPUs coordinate workloads, GPU-based AI models extract features and compute classical baselines, and a Quantum Processing Unit (QPU) executes the subroutines that benefit from quantum expressivity. Despite broad consensus that such hybrid Quantum-Classical AI pipelines are the only practical path in the Noisy Intermediate-Scale Quantum (NISQ) era, prior work reports isolated algorithm benchmarks rather than end-to-end, measured pipelines with per-unit runtime and energy accounting. This paper introduces a hybrid Quantum-Classical AI orchestration framework that routes cybersecurity workloads across CPU, GPU and QPU tiers and records runtime and energy at the granularity of individual tasks. We exercise the framework on three representative proof-of-concept workloads drawn from operational cybersecurity scenarios: (i) a Quantum Support Vector Machine with a ZZ feature map kernel for anomaly detection, (ii) the Quantum Approximate Optimization Algorithm for network segmentation via MaxCut, and (iii) Grover-style amplitude amplification for cryptographic search. Across a 17-task pipeline executed on a noiseless simulator, the framework completes end-to-end in 1.47 s. CPU and GPU tiers jointly account for 14 tasks in under 15 ms and 3.96 J, while the simulated QPU tier consumes 99.96% of the total 10,467 J energy budget. Six embedded diagrams visualize the architecture, per-unit utilization, energy breakdown, and pipeline timeline. We show that the framework localizes this bottleneck and that per-task accounting makes it actionable for future hardware deployments. All workloads are intentionally sized to NISQ constraints; we position this paper as a proof-of-concept and outline a validation roadmap on the NSL-KDD and CICIDS2017 intrusion-detection datasets.</w:t>
      </w:r>
    </w:p>
    <w:p>
      <w:pPr>
        <w:pStyle w:val="Keywords"/>
      </w:pPr>
      <w:r>
        <w:rPr>
          <w:b/>
          <w:bCs/>
          <w:i/>
          <w:iCs/>
        </w:rPr>
        <w:t>Keywords</w:t>
      </w:r>
      <w:r>
        <w:rPr>
          <w:b/>
          <w:bCs/>
          <w:i/>
          <w:iCs/>
        </w:rPr>
        <w:t>—</w:t>
      </w:r>
      <w:r>
        <w:t>hybrid quantum-classical computing, heterogeneous computing, quantum machine learning, QAOA, Grover’s algorithm, energy-aware orchestration, NISQ, cybersecurity, intrusion detection, cloud quantum platforms</w:t>
      </w:r>
    </w:p>
    <w:p>
      <w:pPr>
        <w:pStyle w:val="Heading1"/>
      </w:pPr>
      <w:r>
        <w:t>Introduction</w:t>
      </w:r>
    </w:p>
    <w:p>
      <w:pPr>
        <w:pStyle w:val="BodyText"/>
      </w:pPr>
      <w:r>
        <w:t>Cybersecurity workloads increasingly combine statistical learning, combinatorial optimization, and cryptanalytic search—three computational patterns for which quantum algorithms offer theoretical advantages. Quantum kernel methods promise richer feature spaces for anomaly detection, the Quantum Approximate Optimization Algorithm (QAOA) targets network-segmentation problems that are NP-hard classically, and Grover’s search provides a provable quadratic speedup for unstructured key search. Yet none of these algorithms runs in isolation on near-term hardware: each one is, by construction, a hybrid workload in which classical preprocessing, classical optimization, and classical post-processing dominate the wall-clock budget [1].</w:t>
      </w:r>
    </w:p>
    <w:p>
      <w:pPr>
        <w:pStyle w:val="BodyText"/>
      </w:pPr>
      <w:r>
        <w:t>Preskill’s characterization of the Noisy Intermediate-Scale Quantum (NISQ) era [2] makes this observation concrete: hundreds of qubits without error correction cannot deliver general-purpose speedups, so near-term utility must come from tightly-coupled hybrid pipelines. Arute et al.’s 53-qubit demonstration [3] and the subsequent NISQ algorithm survey by Bharti et al. [4] reinforce the same conclusion: the practical unit of work on near-term quantum devices is not a monolithic quantum algorithm, but a task graph in which a classical driver orchestrates a handful of short quantum circuits interleaved with classical AI computation. Humble et al. [16] crystallize this view by positioning the Quantum Processing Unit (QPU) as an accelerator tier alongside CPUs and GPUs inside conventional High-Performance Computing (HPC) systems.</w:t>
      </w:r>
    </w:p>
    <w:p>
      <w:pPr>
        <w:pStyle w:val="BodyText"/>
      </w:pPr>
      <w:r>
        <w:t>Two gaps remain unaddressed in this hybrid view. First, the literature reports quantum-algorithm benchmarks in isolation—a QSVM on one dataset, a QAOA instance on another, a Grover demonstration on a third—rather than a single, measured pipeline spanning CPU, GPU, and QPU tiers on a common set of cybersecurity workloads. Runtime figures in such isolated studies are not apples-to-apples, because each experiment carries its own preprocessing overhead, its own classical baseline, and its own reporting convention. Second, Auffeves [23] and Strubell et al. [24] have argued in parallel that energy per computation, not only runtime, must become a first-class metric for heterogeneous systems; yet no prior cybersecurity-oriented quantum study reports per-task runtime and energy at the resolution needed to drive scheduling decisions or motivate hardware-aware optimization work.</w:t>
      </w:r>
    </w:p>
    <w:p>
      <w:pPr>
        <w:pStyle w:val="BodyText"/>
      </w:pPr>
      <w:r>
        <w:t>We take the position that filling these two gaps is a prerequisite for any credible claim about near-term quantum advantage in cybersecurity. Before one can defend a performance comparison, one must first be able to measure—at per-task resolution, inside a single end-to-end pipeline, and under a common methodology—what each tier of the heterogeneous system is actually contributing. The contribution of this paper is a framework that makes such measurement routine.</w:t>
      </w:r>
    </w:p>
    <w:p>
      <w:pPr>
        <w:pStyle w:val="BodyText"/>
      </w:pPr>
      <w:r>
        <w:t>This paper addresses both gaps. Our contributions are:</w:t>
      </w:r>
    </w:p>
    <w:p>
      <w:pPr>
        <w:pStyle w:val="bulletlist"/>
      </w:pPr>
      <w:r>
        <w:t>(1) A hybrid Quantum-Classical AI orchestration framework that decomposes cybersecurity workloads into a CPU/GPU/QPU task graph and executes them through a single driver, exposing per-task runtime and energy measurements.</w:t>
      </w:r>
    </w:p>
    <w:p>
      <w:pPr>
        <w:pStyle w:val="bulletlist"/>
      </w:pPr>
      <w:r>
        <w:t>(2) Three proof-of-concept workloads that exercise the framework under realistic AI+quantum interaction patterns: a QSVM anomaly detector in which a GPU neural feature extractor feeds a QPU kernel estimator; a QAOA MaxCut solver driven by a classical COBYLA optimizer; and a Grover search driven by a GPU oracle-evaluation stage.</w:t>
      </w:r>
    </w:p>
    <w:p>
      <w:pPr>
        <w:pStyle w:val="bulletlist"/>
      </w:pPr>
      <w:r>
        <w:t>(3) A cloud-aware energy model E = t_runtime × P × PUE parameterized for heterogeneous deployments, with per-unit measurements showing that the simulated QPU tier dominates 99.96% of the pipeline energy budget and localizing the target for future optimization.</w:t>
      </w:r>
    </w:p>
    <w:p>
      <w:pPr>
        <w:pStyle w:val="bulletlist"/>
      </w:pPr>
      <w:r>
        <w:t>(4) An explicit positioning as a proof-of-concept together with a validation roadmap on the NSL-KDD [20] and CICIDS2017 [21] benchmark intrusion-detection datasets, acknowledging that the synthetic workloads used here are sized to NISQ constraints.</w:t>
      </w:r>
    </w:p>
    <w:p>
      <w:pPr>
        <w:pStyle w:val="bulletlist"/>
      </w:pPr>
      <w:r>
        <w:t>(5) Six publication-quality diagrams generated directly from the executing simulator, embedded in this paper, and reproducible via a single-command launcher.</w:t>
      </w:r>
    </w:p>
    <w:p>
      <w:pPr>
        <w:pStyle w:val="BodyText"/>
      </w:pPr>
      <w:r>
        <w:t>The remainder of the paper is organized as follows. Section II reviews related work across five streams and closes with an explicit statement of the research gap. Section III describes the hybrid framework, the tier role assignment, and the energy model; Fig. 1 illustrates the live architecture. Section IV presents the three cybersecurity workloads that exercise the framework. Section V reports the measured 17-task pipeline results with four tables and five embedded figures. Section VI discusses limitations, threats to validity, and the planned validation roadmap on standard intrusion-detection benchmarks. Section VII concludes.</w:t>
      </w:r>
    </w:p>
    <w:p>
      <w:pPr>
        <w:pStyle w:val="Heading1"/>
      </w:pPr>
      <w:r>
        <w:t>Related Work</w:t>
      </w:r>
    </w:p>
    <w:p>
      <w:pPr>
        <w:pStyle w:val="Heading2"/>
      </w:pPr>
      <w:r>
        <w:t>A. NISQ Computing and Hybrid Workloads</w:t>
      </w:r>
    </w:p>
    <w:p>
      <w:pPr>
        <w:pStyle w:val="BodyText"/>
      </w:pPr>
      <w:r>
        <w:t>The current era of quantum hardware is characterized by tens-to-hundreds of noisy qubits without error correction, formally termed the NISQ era by Preskill [2]. The 53-qubit Sycamore demonstration by Arute et al. [3] established that near-term devices can execute circuits beyond classical brute-force simulation, yet practical utility remains bounded by decoherence, limited connectivity, and shot noise. Bharti et al. [4] survey the NISQ algorithmic landscape and argue that hybrid quantum-classical workflows are the only tractable path to near-term quantum advantage, with the classical portion of the pipeline carrying most of the computational load. This conclusion directly motivates our orchestration-centric design: if classical work dominates, then the software layer that schedules classical and quantum work on appropriate hardware tiers is as important as the quantum circuits themselves.</w:t>
      </w:r>
    </w:p>
    <w:p>
      <w:pPr>
        <w:pStyle w:val="Heading2"/>
      </w:pPr>
      <w:r>
        <w:t>B. Quantum Machine Learning and Kernel Methods</w:t>
      </w:r>
    </w:p>
    <w:p>
      <w:pPr>
        <w:pStyle w:val="BodyText"/>
      </w:pPr>
      <w:r>
        <w:t>Biamonte et al. [5] provide the foundational survey of Quantum Machine Learning (QML), identifying kernel methods as among the earliest candidates for near-term quantum advantage. Havlicek et al. [6] introduced the ZZ feature map—a parameterized circuit that embeds classical data into an exponentially large Hilbert space—and showed that the resulting quantum kernel can be estimated on NISQ hardware and consumed by a classical Support Vector Machine [22]. Schuld and Killoran [7] formalize the feature-Hilbert-space view: any data-dependent unitary implicitly defines a kernel. Huang et al. [8] delineate when quantum kernels outperform classical ones, tying advantage to geometric properties of the data and showing that, without such structure, classical kernels can match quantum ones using modest amounts of training data. Our QSVM workload reuses the exact ZZ feature map of [6]; the novelty is not the kernel itself but the execution pattern that interleaves a GPU neural feature extractor with QPU kernel-element estimation, producing a measurable hybrid pipeline rather than an idealized circuit.</w:t>
      </w:r>
    </w:p>
    <w:p>
      <w:pPr>
        <w:pStyle w:val="Heading2"/>
      </w:pPr>
      <w:r>
        <w:t>C. Variational and Search-Based Quantum Algorithms</w:t>
      </w:r>
    </w:p>
    <w:p>
      <w:pPr>
        <w:pStyle w:val="BodyText"/>
      </w:pPr>
      <w:r>
        <w:t>Two quantum algorithms dominate cybersecurity-relevant NISQ research. The Quantum Approximate Optimization Algorithm, proposed by Farhi et al. [9], targets combinatorial problems such as MaxCut by alternating cost and mixer Hamiltonians over p variational layers. Zhou et al. [11] analyze its performance scaling, while Cerezo et al. [10] survey the broader family of Variational Quantum Algorithms (VQAs) and emphasize that every VQA is structurally hybrid: a classical optimizer iteratively updates circuit parameters from measurement statistics, so even a perfect quantum sub-circuit cannot escape the latency and energy of its classical driver loop. McClean et al. [14] established the theoretical foundations of this hybrid feedback loop. Separately, Grover’s algorithm [12] provides a quadratic speedup for unstructured search, and Grassl et al. [13] quantify its impact on symmetric-key cryptanalysis, motivating the migration from AES-128 to AES-256. Our QAOA and Grover workloads invoke these algorithms not to reproduce their asymptotic claims, which is infeasible at NISQ scale, but to exercise the orchestration layer under realistic variational and amplitude-amplification workloads.</w:t>
      </w:r>
    </w:p>
    <w:p>
      <w:pPr>
        <w:pStyle w:val="Heading2"/>
      </w:pPr>
      <w:r>
        <w:t>D. Hybrid Heterogeneous Computing and Energy</w:t>
      </w:r>
    </w:p>
    <w:p>
      <w:pPr>
        <w:pStyle w:val="BodyText"/>
      </w:pPr>
      <w:r>
        <w:t>Callison and Chancellor [15] explicitly argue that NISQ progress depends on tight integration between classical and quantum resources. Humble et al. [16] go further and position QPUs as accelerators inside HPC systems, analogous to the integration of GPUs into scientific workflows a decade earlier; their vision frames the QPU as one tier of a heterogeneous hierarchy rather than a standalone device. Existing work on QPU-HPC integration, however, focuses on offloading protocols and interconnects rather than on end-to-end workload characterization. In parallel, Auffeves [23] has called for a Quantum Energy Initiative, arguing that energy per computation must become a first-class metric for NISQ systems, on the grounds that dilution refrigerators and control electronics dominate the power budget of today’s superconducting platforms. Strubell et al. [24] made the analogous case for classical deep learning. To our knowledge, no prior work reports per-unit runtime and energy for a full hybrid cybersecurity workload spanning CPU, GPU, and QPU tiers under a single measurement methodology.</w:t>
      </w:r>
    </w:p>
    <w:p>
      <w:pPr>
        <w:pStyle w:val="Heading2"/>
      </w:pPr>
      <w:r>
        <w:t>E. Quantum Computing for Cybersecurity</w:t>
      </w:r>
    </w:p>
    <w:p>
      <w:pPr>
        <w:pStyle w:val="BodyText"/>
      </w:pPr>
      <w:r>
        <w:t>Kilber et al. [19] survey the intersection of quantum computing and cybersecurity from the defensive perspective (post-quantum cryptography, side-channel resistance). Complementary work has begun to explore detective uses of quantum computing: Payares and Martinez-Santos [18] benchmark QSVMs on DDoS intrusion detection, and earlier cyber-ML surveys [17] motivate the underlying detection-and-response workflow. Standard evaluation datasets for intrusion detection include NSL-KDD [20] and CICIDS2017 [21]. Our proof-of-concept uses synthetic data sized to NISQ qubit counts; Section VI describes a validation roadmap on both datasets, under which the framework is re-exercised with realistic traffic and against classical baselines chosen by the cybersecurity community.</w:t>
      </w:r>
    </w:p>
    <w:p>
      <w:pPr>
        <w:pStyle w:val="Heading2"/>
      </w:pPr>
      <w:r>
        <w:t>F. Research Gap</w:t>
      </w:r>
    </w:p>
    <w:p>
      <w:pPr>
        <w:pStyle w:val="BodyText"/>
      </w:pPr>
      <w:r>
        <w:t>Summarizing: the NISQ literature establishes that hybrid is the only near-term path [2], [4]; the QML/QAOA/Grover literature focuses on individual algorithms in isolation [5]–[14]; the heterogeneous-computing literature proposes QPU-in-HPC as an architectural direction [15], [16] but stops short of measured end-to-end workloads; and the energy-aware computing literature [23], [24] identifies energy as the missing metric. Our contribution sits precisely at this intersection: an orchestration framework that (i) routes three representative cybersecurity workloads across CPU, GPU, and QPU tiers, (ii) measures runtime and energy at the granularity of individual tasks, and (iii) makes the resulting characterization reproducible via an open task graph and a one-click launcher.</w:t>
      </w:r>
    </w:p>
    <w:p>
      <w:pPr>
        <w:pStyle w:val="Heading1"/>
      </w:pPr>
      <w:r>
        <w:t>Hybrid Quantum-Classical AI Framework</w:t>
      </w:r>
    </w:p>
    <w:p>
      <w:pPr>
        <w:pStyle w:val="Heading2"/>
      </w:pPr>
      <w:r>
        <w:t>A. Architecture</w:t>
      </w:r>
    </w:p>
    <w:p>
      <w:pPr>
        <w:pStyle w:val="BodyText"/>
      </w:pPr>
      <w:r>
        <w:t>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mirrors the QPU-in-HPC vision of Humble et al. [16], but treats GPUs as first-class citizens rather than as a secondary classical tier, because AI-centric cybersecurity workloads already rely on GPU acceleration for feature extraction and batch inference. Fig. 1 shows the live architecture rendered by the running simulator, with all three tiers, their active tasks during a pipeline run, and the data-dependency edges between them.</w:t>
      </w:r>
    </w:p>
    <w:p>
      <w:pPr>
        <w:jc w:val="center"/>
      </w:pPr>
      <w:r>
        <w:drawing>
          <wp:inline xmlns:wp="http://purl.oclc.org/ooxml/drawingml/wordprocessingDrawing" distT="0" distB="0" distL="0" distR="0">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100"/>
                    <a:stretch>
                      <a:fillRect/>
                    </a:stretch>
                  </pic:blipFill>
                  <pic:spPr>
                    <a:xfrm>
                      <a:off x="0" y="0"/>
                      <a:ext cx="2971800" cy="2971800"/>
                    </a:xfrm>
                    <a:prstGeom prst="rect">
                      <a:avLst/>
                    </a:prstGeom>
                  </pic:spPr>
                </pic:pic>
              </a:graphicData>
            </a:graphic>
          </wp:inline>
        </w:drawing>
      </w:r>
    </w:p>
    <w:p>
      <w:pPr>
        <w:pStyle w:val="tablehead"/>
      </w:pPr>
      <w:r>
        <w:t>Fig. 1.  Live architecture of the hybrid CPU+GPU+QPU orchestration framework during a pipeline execution. CPU coordinates control flow, GPU accelerates classical AI, QPU executes short quantum circuits.</w:t>
      </w:r>
    </w:p>
    <w:p>
      <w:pPr>
        <w:pStyle w:val="Heading2"/>
      </w:pPr>
      <w:r>
        <w:t>B. Tier Roles</w:t>
      </w:r>
    </w:p>
    <w:p>
      <w:pPr>
        <w:pStyle w:val="BodyText"/>
      </w:pPr>
      <w:r>
        <w:t xml:space="preserve">The </w:t>
      </w:r>
      <w:r>
        <w:rPr>
          <w:b/>
          <w:bCs/>
        </w:rPr>
        <w:t>CPU</w:t>
      </w:r>
      <w:r>
        <w:t xml:space="preserve"> tier handles control flow, data ingestion, preprocessing, classical algorithm execution (e.g., SVM training with a precomputed kernel [22], greedy MaxCut, brute-force search), and result aggregation. The </w:t>
      </w:r>
      <w:r>
        <w:rPr>
          <w:b/>
          <w:bCs/>
        </w:rPr>
        <w:t>GPU</w:t>
      </w:r>
      <w:r>
        <w:t xml:space="preserve"> tier accelerates parallel AI operations: a 3-layer neural feature extractor with 2,928 parameters, batch classification across test samples, RBF kernel estimation as a classical baseline, Kronecker-product Hamiltonian construction for QAOA, and parallel oracle evaluation for Grover. The </w:t>
      </w:r>
      <w:r>
        <w:rPr>
          <w:b/>
          <w:bCs/>
        </w:rPr>
        <w:t>QPU</w:t>
      </w:r>
      <w:r>
        <w:t xml:space="preserve"> tier executes short quantum circuits: ZZ feature-map kernel evaluation [6], depth-p QAOA circuits driven by a classical COBYLA optimizer [10], [14], and amplitude-amplification circuits following the pattern of [12]. On our experimental setup the QPU tier is realized by Qiskit Aer in noiseless simulator mode [25]; the framework is agnostic to the backend and can be retargeted to real hardware without changing the task graph, because each tier is implemented behind a common dispatch interface.</w:t>
      </w:r>
    </w:p>
    <w:p>
      <w:pPr>
        <w:pStyle w:val="Heading2"/>
      </w:pPr>
      <w:r>
        <w:t>C. Task Graph and Dispatch</w:t>
      </w:r>
    </w:p>
    <w:p>
      <w:pPr>
        <w:pStyle w:val="BodyText"/>
      </w:pPr>
      <w:r>
        <w:t>The task graph for the three workloads in this paper contains 17 nodes (8 CPU, 6 GPU, 3 QPU) and 19 directed edges. During a run, the driver walks the graph in topological order: for each task, it selects the backend matching the task’s tier label, times the call with a monotonic clock, and records an (ops, runtime, energy) triple. Tasks on the GPU tier that are mutually independent are dispatched in parallel to a single device; tasks on the QPU tier are serialized to match the behavior of real cloud queues. The driver is backend-agnostic: replacing the Aer simulator [25] with a hardware backend requires only a new implementation of the QPU dispatch interface, while the task graph and the measurement code remain unchanged. This property is central to the validation roadmap of Section VI.</w:t>
      </w:r>
    </w:p>
    <w:p>
      <w:pPr>
        <w:pStyle w:val="Heading2"/>
      </w:pPr>
      <w:r>
        <w:t>D. Energy Model</w:t>
      </w:r>
    </w:p>
    <w:p>
      <w:pPr>
        <w:pStyle w:val="BodyText"/>
      </w:pPr>
      <w:r>
        <w:t>Following Auffeves [23] and adapting the classical DL energy accounting of Strubell et al. [24] to heterogeneous deployments, we estimate per-task energy as:</w:t>
      </w:r>
    </w:p>
    <w:p>
      <w:pPr>
        <w:pStyle w:val="equation"/>
      </w:pPr>
      <w:r>
        <w:rPr>
          <w:i/>
          <w:iCs/>
        </w:rPr>
        <w:t>E_task = t_task × P_tier × PUE    (1)</w:t>
      </w:r>
    </w:p>
    <w:p>
      <w:pPr>
        <w:pStyle w:val="BodyText"/>
      </w:pPr>
      <w:r>
        <w:t>where t_task is the measured wall-clock runtime of the task on its assigned tier, P_tier is a representative power draw for that tier (P_CPU = 125 W, P_GPU = 300 W, P_QPU = 25,000 W for a dilution-refrigerator-based superconducting system [16]), and PUE = 1.2 accounts for cooling and distribution overhead in a hyperscale datacenter. Total pipeline energy is the sum of E_task over all v ∈ V. We report low and high bounds for CPU/GPU tiers using {125 W, 300 W} and {300 W, 450 W} respectively, and a point estimate for the QPU tier because its dominant contribution (the dilution refrigerator) is largely workload-independent and varies by less than 5% over the sub-second timescales observed in our pipeline.</w:t>
      </w:r>
    </w:p>
    <w:p>
      <w:pPr>
        <w:pStyle w:val="Heading2"/>
      </w:pPr>
      <w:r>
        <w:t>E. Reproducibility</w:t>
      </w:r>
    </w:p>
    <w:p>
      <w:pPr>
        <w:pStyle w:val="BodyText"/>
      </w:pPr>
      <w:r>
        <w:t>All workloads are implemented on top of Qiskit v1.x with the Aer statevector and QASM simulators [25], scikit-learn v1.x for classical baselines [22], NetworkX for graph construction, and PyTorch for GPU feature extraction. Random seeds are fixed at 42 for all experiments. The task graph, driver, and per-unit timing code are released alongside this paper, and a single-click Windows launcher (Run_Hybrid_Simulator.bat) executes the entire 17-task pipeline and regenerates all six figures shown in this paper end-to-end in under three seconds.</w:t>
      </w:r>
    </w:p>
    <w:p>
      <w:pPr>
        <w:pStyle w:val="Heading1"/>
      </w:pPr>
      <w:r>
        <w:t>Cybersecurity Workloads</w:t>
      </w:r>
    </w:p>
    <w:p>
      <w:pPr>
        <w:pStyle w:val="BodyText"/>
      </w:pPr>
      <w:r>
        <w:t>The three workloads below are intentionally sized to NISQ constraints (4–7 qubits, shallow depth). We reiterate Section I: the objective is to exercise the orchestration framework under representative hybrid patterns—not to claim algorithmic quantum advantage at these scales, which is ruled out a priori by [4] and [8]. Each workload is presented as a short task chain through the three tiers.</w:t>
      </w:r>
    </w:p>
    <w:p>
      <w:pPr>
        <w:pStyle w:val="Heading2"/>
      </w:pPr>
      <w:r>
        <w:t>A. Workload 1: QSVM Anomaly Detection</w:t>
      </w:r>
    </w:p>
    <w:p>
      <w:pPr>
        <w:pStyle w:val="Heading3"/>
      </w:pPr>
      <w:r>
        <w:t>1) Dataset</w:t>
      </w:r>
    </w:p>
    <w:p>
      <w:pPr>
        <w:pStyle w:val="BodyText"/>
      </w:pPr>
      <w:r>
        <w:t>A synthetic network-traffic dataset with 120 samples and 4 features (packet rate, byte count, connection duration, error rate) is generated with two balanced classes: benign samples from N(0.2, 0.1) and anomalous samples from N(0.8, 0.1). Features are min-max normalized to [0, 1]. We emphasize that this is a proof-of-concept dataset; the 4-qubit width is dictated by the NISQ constraint [2], [4], not by the information content of the problem. Section VI details a validation plan on NSL-KDD [20] and CICIDS2017 [21], both of which contain realistic traffic traces with many more features and strong class imbalance.</w:t>
      </w:r>
    </w:p>
    <w:p>
      <w:pPr>
        <w:pStyle w:val="Heading3"/>
      </w:pPr>
      <w:r>
        <w:t>2) AI stage (GPU)</w:t>
      </w:r>
    </w:p>
    <w:p>
      <w:pPr>
        <w:pStyle w:val="BodyText"/>
      </w:pPr>
      <w:r>
        <w:t>A 3-layer feed-forward neural network with 2,928 parameters is trained on the GPU to project raw features into a 4-dimensional latent space suitable for amplitude encoding. The same GPU tier also computes an RBF-kernel classical SVM baseline, so that the AI feature extractor and the classical baseline share the same preprocessed input and the same device.</w:t>
      </w:r>
    </w:p>
    <w:p>
      <w:pPr>
        <w:pStyle w:val="Heading3"/>
      </w:pPr>
      <w:r>
        <w:t>3) Quantum stage (QPU)</w:t>
      </w:r>
    </w:p>
    <w:p>
      <w:pPr>
        <w:pStyle w:val="BodyText"/>
      </w:pPr>
      <w:r>
        <w:t>The ZZ feature map of Havlicek et al. [6] encodes each latent vector into a 4-qubit circuit. The quantum kernel between x and y is estimated as:</w:t>
      </w:r>
    </w:p>
    <w:p>
      <w:pPr>
        <w:pStyle w:val="equation"/>
      </w:pPr>
      <w:r>
        <w:rPr>
          <w:i/>
          <w:iCs/>
        </w:rPr>
        <w:t>k(x, y) = |⟨0^n| U_dag(y) U(x) |0^n⟩|²    (2)</w:t>
      </w:r>
    </w:p>
    <w:p>
      <w:pPr>
        <w:pStyle w:val="BodyText"/>
      </w:pPr>
      <w:r>
        <w:t>with 2,000 shots per circuit, producing an 80 × 80 training kernel and an 80 × 40 test kernel that are consumed by a classical SVC with kernel=precomputed [22]. This task chain is the most QPU-intensive of the three workloads because the number of circuits grows quadratically with the training-set size.</w:t>
      </w:r>
    </w:p>
    <w:p>
      <w:pPr>
        <w:pStyle w:val="Heading2"/>
      </w:pPr>
      <w:r>
        <w:t>B. Workload 2: QAOA Network Segmentation</w:t>
      </w:r>
    </w:p>
    <w:p>
      <w:pPr>
        <w:pStyle w:val="BodyText"/>
      </w:pPr>
      <w:r>
        <w:t>A MaxCut instance on an Erdos-Renyi graph G(n=7, p=0.35) models network segmentation, in which vertices are subnets and edges are inter-subnet flows to be monitored. A depth-2 QAOA circuit (4 variational parameters) is driven by a classical COBYLA optimizer [10], [14], [11] with up to 150 iterations. The GPU tier precomputes the cost Hamiltonian via Kronecker products; the CPU tier computes a greedy heuristic baseline and the brute-force optimum on the 2⁷ = 128 partitions. The alternation between classical optimizer and quantum circuit evaluation is the canonical variational pattern surveyed in [10], and its per-iteration cost is exposed by the framework as a sequence of measurable task records.</w:t>
      </w:r>
    </w:p>
    <w:p>
      <w:pPr>
        <w:pStyle w:val="Heading2"/>
      </w:pPr>
      <w:r>
        <w:t>C. Workload 3: Grover-Style Search</w:t>
      </w:r>
    </w:p>
    <w:p>
      <w:pPr>
        <w:pStyle w:val="BodyText"/>
      </w:pPr>
      <w:r>
        <w:t>A 4-qubit unstructured search instance (N = 16) with a single marked state |0110⟩ exercises amplitude amplification [12]. The circuit comprises an initial Hadamard layer followed by k* = ⌊(π/4)√N⌋ = 3 Grover operators, each composed of the oracle O and the diffuser D = 2|s⟩⟨s| - I. The GPU tier performs a parallel classical oracle scan as both a baseline and a warm-start signal; this reflects the actual deployment pattern used by Grassl et al. [13] in their AES cryptanalysis study, where classical precomputation is used to narrow the quantum search space before dispatch.</w:t>
      </w:r>
    </w:p>
    <w:p>
      <w:pPr>
        <w:pStyle w:val="Heading1"/>
      </w:pPr>
      <w:r>
        <w:t>Measured Pipeline Results</w:t>
      </w:r>
    </w:p>
    <w:p>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 Fig. 2 shows the full pipeline timeline rendered by the simulator, with each task positioned on its assigned tier and shaded by runtime.</w:t>
      </w:r>
    </w:p>
    <w:p>
      <w:pPr>
        <w:jc w:val="center"/>
      </w:pPr>
      <w:r>
        <w:drawing>
          <wp:inline xmlns:wp="http://purl.oclc.org/ooxml/drawingml/wordprocessingDrawing" distT="0" distB="0" distL="0" distR="0">
            <wp:extent cx="2971800" cy="1470941"/>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101"/>
                    <a:stretch>
                      <a:fillRect/>
                    </a:stretch>
                  </pic:blipFill>
                  <pic:spPr>
                    <a:xfrm>
                      <a:off x="0" y="0"/>
                      <a:ext cx="2971800" cy="1470941"/>
                    </a:xfrm>
                    <a:prstGeom prst="rect">
                      <a:avLst/>
                    </a:prstGeom>
                  </pic:spPr>
                </pic:pic>
              </a:graphicData>
            </a:graphic>
          </wp:inline>
        </w:drawing>
      </w:r>
    </w:p>
    <w:p>
      <w:pPr>
        <w:pStyle w:val="tablehead"/>
      </w:pPr>
      <w:r>
        <w:t>Fig. 2.  Pipeline timeline for the 17-task hybrid execution. The horizontal axis is wall-clock time; each bar is a task assigned to its tier.</w:t>
      </w:r>
    </w:p>
    <w:p>
      <w:pPr>
        <w:pStyle w:val="Heading2"/>
      </w:pPr>
      <w:r>
        <w:t>A. Per-Tier Utilization</w:t>
      </w:r>
    </w:p>
    <w:p>
      <w:pPr>
        <w:pStyle w:val="BodyText"/>
      </w:pPr>
      <w:r>
        <w:t>Table I summarizes runtime and energy by tier. Figures are totals across the 17-task pipeline. Fig. 3 visualizes the same information as stacked bars per tier, making the imbalance between CPU/GPU and QPU immediately visible.</w:t>
      </w:r>
    </w:p>
    <w:p>
      <w:pPr>
        <w:pStyle w:val="tablehead"/>
      </w:pPr>
      <w:r>
        <w:t>TABLE I. Per-Tier Runtime and Energy, 17-Task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0.0040</w:t>
            </w:r>
          </w:p>
        </w:tc>
        <w:tc>
          <w:tcPr>
            <w:tcBorders>
              <w:top w:val="single" w:sz="4" w:space="0" w:color="auto"/>
              <w:bottom w:val="single" w:sz="4" w:space="0" w:color="auto"/>
            </w:tcBorders>
          </w:tcPr>
          <w:p>
            <w:pPr>
              <w:pStyle w:val="tablecopy"/>
            </w:pPr>
            <w:r>
              <w:t>0.51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0.0113</w:t>
            </w:r>
          </w:p>
        </w:tc>
        <w:tc>
          <w:tcPr>
            <w:tcBorders>
              <w:top w:val="single" w:sz="4" w:space="0" w:color="auto"/>
              <w:bottom w:val="single" w:sz="4" w:space="0" w:color="auto"/>
            </w:tcBorders>
          </w:tcPr>
          <w:p>
            <w:pPr>
              <w:pStyle w:val="tablecopy"/>
            </w:pPr>
            <w:r>
              <w:t>3.45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1.4533</w:t>
            </w:r>
          </w:p>
        </w:tc>
        <w:tc>
          <w:tcPr>
            <w:tcBorders>
              <w:top w:val="single" w:sz="4" w:space="0" w:color="auto"/>
              <w:bottom w:val="single" w:sz="4" w:space="0" w:color="auto"/>
            </w:tcBorders>
          </w:tcPr>
          <w:p>
            <w:pPr>
              <w:pStyle w:val="tablecopy"/>
            </w:pPr>
            <w:r>
              <w:t>10,463.55</w:t>
            </w:r>
          </w:p>
        </w:tc>
      </w:tr>
      <w:tr>
        <w:tc>
          <w:tcPr>
            <w:tcBorders>
              <w:top w:val="single" w:sz="4" w:space="0" w:color="auto"/>
              <w:bottom w:val="single" w:sz="4" w:space="0" w:color="auto"/>
            </w:tcBorders>
          </w:tcPr>
          <w:p>
            <w:pPr>
              <w:pStyle w:val="tablecopy"/>
            </w:pPr>
            <w:r>
              <w:t>Total</w:t>
            </w:r>
          </w:p>
        </w:tc>
        <w:tc>
          <w:tcPr>
            <w:tcBorders>
              <w:top w:val="single" w:sz="4" w:space="0" w:color="auto"/>
              <w:bottom w:val="single" w:sz="4" w:space="0" w:color="auto"/>
            </w:tcBorders>
          </w:tcPr>
          <w:p>
            <w:pPr>
              <w:pStyle w:val="tablecopy"/>
            </w:pPr>
            <w:r>
              <w:t>17</w:t>
            </w:r>
          </w:p>
        </w:tc>
        <w:tc>
          <w:tcPr>
            <w:tcBorders>
              <w:top w:val="single" w:sz="4" w:space="0" w:color="auto"/>
              <w:bottom w:val="single" w:sz="4" w:space="0" w:color="auto"/>
            </w:tcBorders>
          </w:tcPr>
          <w:p>
            <w:pPr>
              <w:pStyle w:val="tablecopy"/>
            </w:pPr>
            <w:r>
              <w:t>1.4686</w:t>
            </w:r>
          </w:p>
        </w:tc>
        <w:tc>
          <w:tcPr>
            <w:tcBorders>
              <w:top w:val="single" w:sz="4" w:space="0" w:color="auto"/>
              <w:bottom w:val="single" w:sz="4" w:space="0" w:color="auto"/>
            </w:tcBorders>
          </w:tcPr>
          <w:p>
            <w:pPr>
              <w:pStyle w:val="tablecopy"/>
            </w:pPr>
            <w:r>
              <w:t>10,467.51</w:t>
            </w:r>
          </w:p>
        </w:tc>
      </w:tr>
    </w:tbl>
    <w:p>
      <w:pPr>
        <w:jc w:val="center"/>
      </w:pPr>
      <w:r>
        <w:drawing>
          <wp:inline xmlns:wp="http://purl.oclc.org/ooxml/drawingml/wordprocessingDrawing" distT="0" distB="0" distL="0" distR="0">
            <wp:extent cx="2971800" cy="1325648"/>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hybrid_unit_utilization.png"/>
                    <pic:cNvPicPr/>
                  </pic:nvPicPr>
                  <pic:blipFill>
                    <a:blip r:embed="rId102"/>
                    <a:stretch>
                      <a:fillRect/>
                    </a:stretch>
                  </pic:blipFill>
                  <pic:spPr>
                    <a:xfrm>
                      <a:off x="0" y="0"/>
                      <a:ext cx="2971800" cy="1325648"/>
                    </a:xfrm>
                    <a:prstGeom prst="rect">
                      <a:avLst/>
                    </a:prstGeom>
                  </pic:spPr>
                </pic:pic>
              </a:graphicData>
            </a:graphic>
          </wp:inline>
        </w:drawing>
      </w:r>
    </w:p>
    <w:p>
      <w:pPr>
        <w:pStyle w:val="tablehead"/>
      </w:pPr>
      <w:r>
        <w:t>Fig. 3.  Per-unit utilization across the 17-task pipeline. The simulated QPU tier dominates both runtime and energy.</w:t>
      </w:r>
    </w:p>
    <w:p>
      <w:pPr>
        <w:pStyle w:val="BodyText"/>
      </w:pPr>
      <w:r>
        <w:t>Two observations follow directly from Table I and Fig. 3. First, the CPU and GPU tiers jointly handle 14 of 17 tasks in under 15 ms and under 4 J; classical orchestration is not the bottleneck, which rules out a large class of hypothetical optimizations that target classical overhead. Second, the QPU tier alone accounts for 98.9% of pipeline runtime and 99.96% of pipeline energy. On the noiseless simulator this is an artifact of classical state-vector simulation (O(2²ⁿ) operations per gate); on real superconducting hardware [16] the dilution refrigerator would still dominate the power budget, but the runtime bottleneck would shift by several orders of magnitude toward the classical tiers, making the orchestrator’s per-task accounting directly actionable for scheduling decisions.</w:t>
      </w:r>
    </w:p>
    <w:p>
      <w:pPr>
        <w:pStyle w:val="Heading2"/>
      </w:pPr>
      <w:r>
        <w:t>B. Per-Workload Breakdown</w:t>
      </w:r>
    </w:p>
    <w:p>
      <w:pPr>
        <w:pStyle w:val="BodyText"/>
      </w:pPr>
      <w:r>
        <w:t>Table II decomposes the pipeline by workload, reporting task count, quantum circuits executed, and the functional outcome. Fig. 4 presents the same data as a side-by-side comparison across the three workloads.</w:t>
      </w:r>
    </w:p>
    <w:p>
      <w:pPr>
        <w:pStyle w:val="tablehead"/>
      </w:pPr>
      <w:r>
        <w:t>TABLE II. Per-Workload Decomposition of the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Workload</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QPU circuits</w:t>
            </w:r>
          </w:p>
        </w:tc>
        <w:tc>
          <w:tcPr>
            <w:tcBorders>
              <w:top w:val="single" w:sz="4" w:space="0" w:color="auto"/>
              <w:bottom w:val="single" w:sz="4" w:space="0" w:color="auto"/>
            </w:tcBorders>
          </w:tcPr>
          <w:p>
            <w:pPr>
              <w:pStyle w:val="tablecolhead"/>
            </w:pPr>
            <w:r>
              <w:t>Outcome</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120</w:t>
            </w:r>
          </w:p>
        </w:tc>
        <w:tc>
          <w:tcPr>
            <w:tcBorders>
              <w:top w:val="single" w:sz="4" w:space="0" w:color="auto"/>
              <w:bottom w:val="single" w:sz="4" w:space="0" w:color="auto"/>
            </w:tcBorders>
          </w:tcPr>
          <w:p>
            <w:pPr>
              <w:pStyle w:val="tablecopy"/>
            </w:pPr>
            <w:r>
              <w:t>accuracy 0.625</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5</w:t>
            </w:r>
          </w:p>
        </w:tc>
        <w:tc>
          <w:tcPr>
            <w:tcBorders>
              <w:top w:val="single" w:sz="4" w:space="0" w:color="auto"/>
              <w:bottom w:val="single" w:sz="4" w:space="0" w:color="auto"/>
            </w:tcBorders>
          </w:tcPr>
          <w:p>
            <w:pPr>
              <w:pStyle w:val="tablecopy"/>
            </w:pPr>
            <w:r>
              <w:t>40</w:t>
            </w:r>
          </w:p>
        </w:tc>
        <w:tc>
          <w:tcPr>
            <w:tcBorders>
              <w:top w:val="single" w:sz="4" w:space="0" w:color="auto"/>
              <w:bottom w:val="single" w:sz="4" w:space="0" w:color="auto"/>
            </w:tcBorders>
          </w:tcPr>
          <w:p>
            <w:pPr>
              <w:pStyle w:val="tablecopy"/>
            </w:pPr>
            <w:r>
              <w:t>ratio 0.7752</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4</w:t>
            </w:r>
          </w:p>
        </w:tc>
        <w:tc>
          <w:tcPr>
            <w:tcBorders>
              <w:top w:val="single" w:sz="4" w:space="0" w:color="auto"/>
              <w:bottom w:val="single" w:sz="4" w:space="0" w:color="auto"/>
            </w:tcBorders>
          </w:tcPr>
          <w:p>
            <w:pPr>
              <w:pStyle w:val="tablecopy"/>
            </w:pPr>
            <w:r>
              <w:t>1</w:t>
            </w:r>
          </w:p>
        </w:tc>
        <w:tc>
          <w:tcPr>
            <w:tcBorders>
              <w:top w:val="single" w:sz="4" w:space="0" w:color="auto"/>
              <w:bottom w:val="single" w:sz="4" w:space="0" w:color="auto"/>
            </w:tcBorders>
          </w:tcPr>
          <w:p>
            <w:pPr>
              <w:pStyle w:val="tablecopy"/>
            </w:pPr>
            <w:r>
              <w:t>p_success 0.9570</w:t>
            </w:r>
          </w:p>
        </w:tc>
      </w:tr>
    </w:tbl>
    <w:p>
      <w:pPr>
        <w:jc w:val="center"/>
      </w:pPr>
      <w:r>
        <w:drawing>
          <wp:inline xmlns:wp="http://purl.oclc.org/ooxml/drawingml/wordprocessingDrawing" distT="0" distB="0" distL="0" distR="0">
            <wp:extent cx="2971800" cy="1022697"/>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xperiment_comparison.png"/>
                    <pic:cNvPicPr/>
                  </pic:nvPicPr>
                  <pic:blipFill>
                    <a:blip r:embed="rId103"/>
                    <a:stretch>
                      <a:fillRect/>
                    </a:stretch>
                  </pic:blipFill>
                  <pic:spPr>
                    <a:xfrm>
                      <a:off x="0" y="0"/>
                      <a:ext cx="2971800" cy="1022697"/>
                    </a:xfrm>
                    <a:prstGeom prst="rect">
                      <a:avLst/>
                    </a:prstGeom>
                  </pic:spPr>
                </pic:pic>
              </a:graphicData>
            </a:graphic>
          </wp:inline>
        </w:drawing>
      </w:r>
    </w:p>
    <w:p>
      <w:pPr>
        <w:pStyle w:val="tablehead"/>
      </w:pPr>
      <w:r>
        <w:t>Fig. 4.  Per-workload comparison across the three cybersecurity case studies exercised by the framework.</w:t>
      </w:r>
    </w:p>
    <w:p>
      <w:pPr>
        <w:pStyle w:val="BodyText"/>
      </w:pPr>
      <w:r>
        <w:t>The QSVM workload consumes the largest share of pipeline energy because kernel estimation requires O(n_train² + n_train·n_test) circuit executions. The QAOA workload runs 40 circuits driven by COBYLA until convergence [11]. The Grover workload executes a single circuit with 2,000 measurement shots. The functional outcomes are reported for completeness but, as Section VI argues, should not be read as classification or optimization quality claims at these scales.</w:t>
      </w:r>
    </w:p>
    <w:p>
      <w:pPr>
        <w:pStyle w:val="Heading2"/>
      </w:pPr>
      <w:r>
        <w:t>C. Energy Breakdown</w:t>
      </w:r>
    </w:p>
    <w:p>
      <w:pPr>
        <w:pStyle w:val="BodyText"/>
      </w:pPr>
      <w:r>
        <w:t>Fig. 5 decomposes the 10,467 J pipeline energy budget by tier and by workload, showing that the QSVM kernel-estimation stage alone consumes over 96% of the total.</w:t>
      </w:r>
    </w:p>
    <w:p>
      <w:pPr>
        <w:jc w:val="center"/>
      </w:pPr>
      <w:r>
        <w:drawing>
          <wp:inline xmlns:wp="http://purl.oclc.org/ooxml/drawingml/wordprocessingDrawing" distT="0" distB="0" distL="0" distR="0">
            <wp:extent cx="2971800" cy="1716485"/>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ybrid_energy_breakdown.png"/>
                    <pic:cNvPicPr/>
                  </pic:nvPicPr>
                  <pic:blipFill>
                    <a:blip r:embed="rId104"/>
                    <a:stretch>
                      <a:fillRect/>
                    </a:stretch>
                  </pic:blipFill>
                  <pic:spPr>
                    <a:xfrm>
                      <a:off x="0" y="0"/>
                      <a:ext cx="2971800" cy="1716485"/>
                    </a:xfrm>
                    <a:prstGeom prst="rect">
                      <a:avLst/>
                    </a:prstGeom>
                  </pic:spPr>
                </pic:pic>
              </a:graphicData>
            </a:graphic>
          </wp:inline>
        </w:drawing>
      </w:r>
    </w:p>
    <w:p>
      <w:pPr>
        <w:pStyle w:val="tablehead"/>
      </w:pPr>
      <w:r>
        <w:t>Fig. 5.  Energy breakdown across the three workloads and the three execution tiers. The QSVM kernel estimation dominates.</w:t>
      </w:r>
    </w:p>
    <w:p>
      <w:pPr>
        <w:pStyle w:val="Heading2"/>
      </w:pPr>
      <w:r>
        <w:t>D. Per-Task Runtime and Energy</w:t>
      </w:r>
    </w:p>
    <w:p>
      <w:pPr>
        <w:pStyle w:val="BodyText"/>
      </w:pPr>
      <w:r>
        <w:t>Table III reports the five most energy-intensive tasks in the pipeline. These tasks are where a hypothetical optimizer should direct its attention first, and where the framework’s per-task accounting provides actionable guidance.</w:t>
      </w:r>
    </w:p>
    <w:p>
      <w:pPr>
        <w:pStyle w:val="tablehead"/>
      </w:pPr>
      <w:r>
        <w:t>TABLE III. Top-5 Energy-Consuming Tasks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Task</w:t>
            </w:r>
          </w:p>
        </w:tc>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QSVM ZZ kernel estimation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1.4042</w:t>
            </w:r>
          </w:p>
        </w:tc>
        <w:tc>
          <w:tcPr>
            <w:tcBorders>
              <w:top w:val="single" w:sz="4" w:space="0" w:color="auto"/>
              <w:bottom w:val="single" w:sz="4" w:space="0" w:color="auto"/>
            </w:tcBorders>
          </w:tcPr>
          <w:p>
            <w:pPr>
              <w:pStyle w:val="tablecopy"/>
            </w:pPr>
            <w:r>
              <w:t>10,110.24</w:t>
            </w:r>
          </w:p>
        </w:tc>
      </w:tr>
      <w:tr>
        <w:tc>
          <w:tcPr>
            <w:tcBorders>
              <w:top w:val="single" w:sz="4" w:space="0" w:color="auto"/>
              <w:bottom w:val="single" w:sz="4" w:space="0" w:color="auto"/>
            </w:tcBorders>
          </w:tcPr>
          <w:p>
            <w:pPr>
              <w:pStyle w:val="tablecopy"/>
            </w:pPr>
            <w:r>
              <w:t>QAOA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0.0484</w:t>
            </w:r>
          </w:p>
        </w:tc>
        <w:tc>
          <w:tcPr>
            <w:tcBorders>
              <w:top w:val="single" w:sz="4" w:space="0" w:color="auto"/>
              <w:bottom w:val="single" w:sz="4" w:space="0" w:color="auto"/>
            </w:tcBorders>
          </w:tcPr>
          <w:p>
            <w:pPr>
              <w:pStyle w:val="tablecopy"/>
            </w:pPr>
            <w:r>
              <w:t>348.48</w:t>
            </w:r>
          </w:p>
        </w:tc>
      </w:tr>
      <w:tr>
        <w:tc>
          <w:tcPr>
            <w:tcBorders>
              <w:top w:val="single" w:sz="4" w:space="0" w:color="auto"/>
              <w:bottom w:val="single" w:sz="4" w:space="0" w:color="auto"/>
            </w:tcBorders>
          </w:tcPr>
          <w:p>
            <w:pPr>
              <w:pStyle w:val="tablecopy"/>
            </w:pPr>
            <w:r>
              <w:t>Grover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0.0007</w:t>
            </w:r>
          </w:p>
        </w:tc>
        <w:tc>
          <w:tcPr>
            <w:tcBorders>
              <w:top w:val="single" w:sz="4" w:space="0" w:color="auto"/>
              <w:bottom w:val="single" w:sz="4" w:space="0" w:color="auto"/>
            </w:tcBorders>
          </w:tcPr>
          <w:p>
            <w:pPr>
              <w:pStyle w:val="tablecopy"/>
            </w:pPr>
            <w:r>
              <w:t>4.83</w:t>
            </w:r>
          </w:p>
        </w:tc>
      </w:tr>
      <w:tr>
        <w:tc>
          <w:tcPr>
            <w:tcBorders>
              <w:top w:val="single" w:sz="4" w:space="0" w:color="auto"/>
              <w:bottom w:val="single" w:sz="4" w:space="0" w:color="auto"/>
            </w:tcBorders>
          </w:tcPr>
          <w:p>
            <w:pPr>
              <w:pStyle w:val="tablecopy"/>
            </w:pPr>
            <w:r>
              <w:t>GPU neural feature extractor</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0.0053</w:t>
            </w:r>
          </w:p>
        </w:tc>
        <w:tc>
          <w:tcPr>
            <w:tcBorders>
              <w:top w:val="single" w:sz="4" w:space="0" w:color="auto"/>
              <w:bottom w:val="single" w:sz="4" w:space="0" w:color="auto"/>
            </w:tcBorders>
          </w:tcPr>
          <w:p>
            <w:pPr>
              <w:pStyle w:val="tablecopy"/>
            </w:pPr>
            <w:r>
              <w:t>1.62</w:t>
            </w:r>
          </w:p>
        </w:tc>
      </w:tr>
      <w:tr>
        <w:tc>
          <w:tcPr>
            <w:tcBorders>
              <w:top w:val="single" w:sz="4" w:space="0" w:color="auto"/>
              <w:bottom w:val="single" w:sz="4" w:space="0" w:color="auto"/>
            </w:tcBorders>
          </w:tcPr>
          <w:p>
            <w:pPr>
              <w:pStyle w:val="tablecopy"/>
            </w:pPr>
            <w:r>
              <w:t>GPU RBF kernel baseline</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0.0041</w:t>
            </w:r>
          </w:p>
        </w:tc>
        <w:tc>
          <w:tcPr>
            <w:tcBorders>
              <w:top w:val="single" w:sz="4" w:space="0" w:color="auto"/>
              <w:bottom w:val="single" w:sz="4" w:space="0" w:color="auto"/>
            </w:tcBorders>
          </w:tcPr>
          <w:p>
            <w:pPr>
              <w:pStyle w:val="tablecopy"/>
            </w:pPr>
            <w:r>
              <w:t>1.25</w:t>
            </w:r>
          </w:p>
        </w:tc>
      </w:tr>
    </w:tbl>
    <w:p>
      <w:pPr>
        <w:pStyle w:val="Heading2"/>
      </w:pPr>
      <w:r>
        <w:t>E. Tier Efficiency</w:t>
      </w:r>
    </w:p>
    <w:p>
      <w:pPr>
        <w:pStyle w:val="BodyText"/>
      </w:pPr>
      <w:r>
        <w:t>From Table I we derive an energy-per-task efficiency metric, E_tier / n_tier, which captures the average cost of dispatching a task to each tier under our cybersecurity workload mix.</w:t>
      </w:r>
    </w:p>
    <w:p>
      <w:pPr>
        <w:pStyle w:val="tablehead"/>
      </w:pPr>
      <w:r>
        <w:t>TABLE IV. Energy per Task by Tier</w:t>
      </w:r>
    </w:p>
    <w:tbl>
      <w:tblPr>
        <w:tblStyle w:val="TableGrid"/>
        <w:tblW w:w="0" w:type="auto"/>
        <w:jc w:val="center"/>
        <w:tblBorders>
          <w:top w:val="single" w:sz="4" w:space="0" w:color="auto"/>
          <w:bottom w:val="single" w:sz="4" w:space="0" w:color="auto"/>
          <w:insideH w:val="single" w:sz="4" w:space="0" w:color="auto"/>
        </w:tblBorders>
      </w:tblPr>
      <w:tblGrid>
        <w:gridCol w:w="84.0pt"/>
        <w:gridCol w:w="84.0pt"/>
        <w:gridCol w:w="84.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Avg Energy / Task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0.064</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0.575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3,487.85</w:t>
            </w:r>
          </w:p>
        </w:tc>
      </w:tr>
    </w:tbl>
    <w:p>
      <w:pPr>
        <w:pStyle w:val="BodyText"/>
      </w:pPr>
      <w:r>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 and where the energy profile can be compared against the simulator-truth figures reported here.</w:t>
      </w:r>
    </w:p>
    <w:p>
      <w:pPr>
        <w:pStyle w:val="Heading2"/>
      </w:pPr>
      <w:r>
        <w:t>F. Simulator Dashboard</w:t>
      </w:r>
    </w:p>
    <w:p>
      <w:pPr>
        <w:pStyle w:val="BodyText"/>
      </w:pPr>
      <w:r>
        <w:t>Fig. 6 collects the key per-unit, per-workload, and per-task plots into a single dashboard view that the simulator auto-generates at the end of every pipeline run. This dashboard is the primary artifact consumed by a user who invokes the one-click launcher.</w:t>
      </w:r>
    </w:p>
    <w:p>
      <w:pPr>
        <w:jc w:val="center"/>
      </w:pPr>
      <w:r>
        <w:drawing>
          <wp:inline xmlns:wp="http://purl.oclc.org/ooxml/drawingml/wordprocessingDrawing" distT="0" distB="0" distL="0" distR="0">
            <wp:extent cx="2971800" cy="2334204"/>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hybrid_simulation_dashboard.png"/>
                    <pic:cNvPicPr/>
                  </pic:nvPicPr>
                  <pic:blipFill>
                    <a:blip r:embed="rId105"/>
                    <a:stretch>
                      <a:fillRect/>
                    </a:stretch>
                  </pic:blipFill>
                  <pic:spPr>
                    <a:xfrm>
                      <a:off x="0" y="0"/>
                      <a:ext cx="2971800" cy="2334204"/>
                    </a:xfrm>
                    <a:prstGeom prst="rect">
                      <a:avLst/>
                    </a:prstGeom>
                  </pic:spPr>
                </pic:pic>
              </a:graphicData>
            </a:graphic>
          </wp:inline>
        </w:drawing>
      </w:r>
    </w:p>
    <w:p>
      <w:pPr>
        <w:pStyle w:val="tablehead"/>
      </w:pPr>
      <w:r>
        <w:t>Fig. 6.  Integrated simulator dashboard, combining per-tier utilization, per-workload comparison, energy breakdown, and top energy-consuming tasks in a single view.</w:t>
      </w:r>
    </w:p>
    <w:p>
      <w:pPr>
        <w:pStyle w:val="Heading1"/>
      </w:pPr>
      <w:r>
        <w:t>Discussion</w:t>
      </w:r>
    </w:p>
    <w:p>
      <w:pPr>
        <w:pStyle w:val="Heading2"/>
      </w:pPr>
      <w:r>
        <w:t>A. What the Numbers Do and Do Not Show</w:t>
      </w:r>
    </w:p>
    <w:p>
      <w:pPr>
        <w:pStyle w:val="BodyText"/>
      </w:pPr>
      <w:r>
        <w:t>The results above do not demonstrate quantum advantage. This is by design. At 4–7 qubits, the problem instances are fully classically tractable, and [4] and [8] make clear that advantage requires hardware beyond current reach. What the results do show is that a hybrid Quantum-Classical AI pipeline can be constructed, executed, and instrumented end-to-end, and that per-tier measurements immediately reveal where the runtime and energy budgets are being spent. This is actionable information for cloud orchestration [15] and for hardware-aware scheduling algorithms that prior work has not been able to inform with measured data. In particular, the dominance of the QSVM kernel-estimation task (Table III) tells a scheduler that caching kernel elements across runs, or batching circuits across clients, would repay far more than any optimization targeting the CPU or GPU tiers.</w:t>
      </w:r>
    </w:p>
    <w:p>
      <w:pPr>
        <w:pStyle w:val="Heading2"/>
      </w:pPr>
      <w:r>
        <w:t>B. Limitations</w:t>
      </w:r>
    </w:p>
    <w:p>
      <w:pPr>
        <w:pStyle w:val="BodyText"/>
      </w:pPr>
      <w:r>
        <w:t>Four limitations should be acknowledged explicitly. First, all measurements are taken on a noiseless simulator; real hardware noise will change both runtime and outcome quality, especially for the depth-2 QAOA circuit [11], which contains 18 CNOT gates per layer and is sensitive to two-qubit gate errors. Second, the datasets are synthetic and intentionally small; they cannot be used to claim detection performance on operational traffic, and any accuracy numbers reported in Section V should be read as framework-exercise outcomes rather than as classification results. Third, the energy model in (1) uses nameplate power values rather than measured rail-level telemetry; future work will replace this with live meters following the methodology advocated by Auffeves [23] and by in-chassis energy telemetry interfaces such as Intel RAPL and NVIDIA NVML. Fourth, we report a single end-to-end run rather than a statistical distribution over seeds; the variability of QAOA’s COBYLA optimizer [10], [14] warrants a multi-seed study in future work.</w:t>
      </w:r>
    </w:p>
    <w:p>
      <w:pPr>
        <w:pStyle w:val="Heading2"/>
      </w:pPr>
      <w:r>
        <w:t>C. Validation Roadmap</w:t>
      </w:r>
    </w:p>
    <w:p>
      <w:pPr>
        <w:pStyle w:val="BodyText"/>
      </w:pPr>
      <w:r>
        <w:t>We plan a three-stage validation of the framework. Stage 1 replaces the synthetic QSVM dataset with NSL-KDD [20], subsampled and feature-reduced to the NISQ-compatible 4–6 qubit envelope, and compares QSVM classification against classical SVM and random-forest baselines under identical pipeline conditions. Stage 2 extends to the richer CICIDS2017 dataset [21], which contains contemporary attack traffic (brute force, Heartbleed, botnet, DDoS, web attacks, infiltration) and supports a broader feature study including temporal flow statistics. Stage 3 deploys the task graph on a real hardware backend (IBM Quantum or Quantinuum) with live energy telemetry, converting the simulator-dominated energy profile of Table I into a hardware-truth profile and making the framework’s per-task accounting directly comparable to published NISQ hardware benchmarks. Only after Stage 3 do we consider quantum-advantage claims warranted.</w:t>
      </w:r>
    </w:p>
    <w:p>
      <w:pPr>
        <w:pStyle w:val="Heading2"/>
      </w:pPr>
      <w:r>
        <w:t>D. Threats to Validity</w:t>
      </w:r>
    </w:p>
    <w:p>
      <w:pPr>
        <w:pStyle w:val="BodyText"/>
      </w:pPr>
      <w:r>
        <w:t>Construct validity is threatened by the use of synthetic data: our QSVM accuracy does not generalize to operational traffic, and the 4-qubit dimensionality collapses the rich feature space of real intrusion-detection benchmarks. Internal validity is threatened by single-run measurement, which does not separate systematic effects from variance. External validity is threatened by the use of a single simulator backend; different Qiskit versions and different hosts may produce different energy profiles even on identical task graphs. We mitigate each threat through the validation roadmap above and through the release of the task graph, the driver code, and the one-click launcher, which allows independent reproduction of every number in this paper.</w:t>
      </w:r>
    </w:p>
    <w:p>
      <w:pPr>
        <w:pStyle w:val="Heading1"/>
      </w:pPr>
      <w:r>
        <w:t>Conclusion</w:t>
      </w:r>
    </w:p>
    <w:p>
      <w:pPr>
        <w:pStyle w:val="BodyText"/>
      </w:pPr>
      <w:r>
        <w:t>We presented a hybrid Quantum-Classical AI orchestration framework for cybersecurity workloads and exercised it on a 17-task pipeline comprising a QSVM anomaly detector, a QAOA network segmenter, and a Grover search routine. The framework routes tasks across CPU, GPU, and QPU tiers and reports per-task runtime and energy, filling a measurement gap in the existing NISQ and QPU-in-HPC literature [2], [4], [16], [23]. On a noiseless simulator, the pipeline completes in 1.47 s; 14 of 17 tasks run on the CPU/GPU tiers in under 15 ms and 4 J, while the simulated QPU tier dominates with 99.96% of the total 10,467 J energy budget. The per-tier accounting localizes the QSVM kernel-estimation task as the single largest optimization target, providing concrete guidance for future work on hardware-aware scheduling.</w:t>
      </w:r>
    </w:p>
    <w:p>
      <w:pPr>
        <w:pStyle w:val="BodyText"/>
      </w:pPr>
      <w:r>
        <w:t>Six embedded figures, generated directly by the executing simulator and reproducible via a one-click launcher, document the architecture, pipeline timeline, per-unit utilization, per-workload comparison, energy breakdown, and an integrated dashboard. The paper is positioned as a proof-of-concept: the workloads are sized to NISQ constraints, and quantum-advantage claims are deferred to the three-stage validation roadmap on NSL-KDD [20] and CICIDS2017 [21], culminating in real-hardware deployment with live energy telemetry. We believe the framework and the per-unit measurement methodology are useful on their own terms, independent of whether any particular workload ultimately shows quantum advantage.</w:t>
      </w:r>
    </w:p>
    <w:p>
      <w:pPr>
        <w:pStyle w:val="Heading1"/>
      </w:pPr>
      <w:r>
        <w:t>Acknowledgment</w:t>
      </w:r>
    </w:p>
    <w:p>
      <w:pPr>
        <w:pStyle w:val="BodyText"/>
      </w:pPr>
      <w:r>
        <w:t>The author thanks the anonymous reviewers for feedback that reshaped the paper from an algorithm-comparison study into the framework-centric proof-of-concept presented here, and for insisting on a validation roadmap grounded in standard cybersecurity datasets.</w:t>
      </w:r>
    </w:p>
    <w:p>
      <w:pPr>
        <w:pStyle w:val="Heading1"/>
      </w:pPr>
      <w:r>
        <w:t>References</w:t>
      </w:r>
    </w:p>
    <w:p>
      <w:pPr>
        <w:pStyle w:val="references"/>
      </w:pPr>
      <w:r>
        <w:t>[1] M. A. Nielsen and I. L. Chuang, Quantum Computation and Quantum Information, 10th ed. Cambridge, U.K.: Cambridge Univ. Press, 2010.</w:t>
      </w:r>
    </w:p>
    <w:p>
      <w:pPr>
        <w:pStyle w:val="references"/>
      </w:pPr>
      <w:r>
        <w:t>[2] J. Preskill, “Quantum computing in the NISQ era and beyond,” Quantum, vol. 2, p. 79, Aug. 2018, doi: 10.22331/q-2018-08-06-79.</w:t>
      </w:r>
    </w:p>
    <w:p>
      <w:pPr>
        <w:pStyle w:val="references"/>
      </w:pPr>
      <w:r>
        <w:t>[3] F. Arute et al., “Quantum supremacy using a programmable superconducting processor,” Nature, vol. 574, no. 7779, pp. 505–510, Oct. 2019, doi: 10.1038/s41586-019-1666-5.</w:t>
      </w:r>
    </w:p>
    <w:p>
      <w:pPr>
        <w:pStyle w:val="references"/>
      </w:pPr>
      <w:r>
        <w:t>[4] K. Bharti et al., “Noisy intermediate-scale quantum algorithms,” Rev. Mod. Phys., vol. 94, no. 1, art. 015004, Feb. 2022, doi: 10.1103/RevModPhys.94.015004.</w:t>
      </w:r>
    </w:p>
    <w:p>
      <w:pPr>
        <w:pStyle w:val="references"/>
      </w:pPr>
      <w:r>
        <w:t>[5] J. Biamonte, P. Wittek, N. Pancotti, P. Rebentrost, N. Wiebe, and S. Lloyd, “Quantum machine learning,” Nature, vol. 549, no. 7671, pp. 195–202, Sep. 2017, doi: 10.1038/nature23474.</w:t>
      </w:r>
    </w:p>
    <w:p>
      <w:pPr>
        <w:pStyle w:val="references"/>
      </w:pPr>
      <w:r>
        <w:t>[6] V. Havlicek, A. D. Corcoles, K. Temme, A. W. Harrow, A. Kandala, J. M. Chow, and J. M. Gambetta, “Supervised learning with quantum-enhanced feature spaces,” Nature, vol. 567, no. 7747, pp. 209–212, Mar. 2019, doi: 10.1038/s41586-019-0980-2.</w:t>
      </w:r>
    </w:p>
    <w:p>
      <w:pPr>
        <w:pStyle w:val="references"/>
      </w:pPr>
      <w:r>
        <w:t>[7] M. Schuld and N. Killoran, “Quantum machine learning in feature Hilbert spaces,” Phys. Rev. Lett., vol. 122, no. 4, art. 040504, Feb. 2019, doi: 10.1103/PhysRevLett.122.040504.</w:t>
      </w:r>
    </w:p>
    <w:p>
      <w:pPr>
        <w:pStyle w:val="references"/>
      </w:pPr>
      <w:r>
        <w:t>[8] H.-Y. Huang, M. Broughton, M. Mohseni, R. Babbush, S. Boixo, H. Neven, and J. R. McClean, “Power of data in quantum machine learning,” Nature Commun., vol. 12, no. 1, art. 2631, May 2021, doi: 10.1038/s41467-021-22539-9.</w:t>
      </w:r>
    </w:p>
    <w:p>
      <w:pPr>
        <w:pStyle w:val="references"/>
      </w:pPr>
      <w:r>
        <w:t>[9] E. Farhi, J. Goldstone, and S. Gutmann, “A quantum approximate optimization algorithm,” arXiv:1411.4028, Nov. 2014.</w:t>
      </w:r>
    </w:p>
    <w:p>
      <w:pPr>
        <w:pStyle w:val="references"/>
      </w:pPr>
      <w:r>
        <w:t>[10] M. Cerezo et al., “Variational quantum algorithms,” Nature Rev. Phys., vol. 3, no. 9, pp. 625–644, Sep. 2021, doi: 10.1038/s42254-021-00348-9.</w:t>
      </w:r>
    </w:p>
    <w:p>
      <w:pPr>
        <w:pStyle w:val="references"/>
      </w:pPr>
      <w:r>
        <w:t>[11] L. Zhou, S.-T. Wang, S. Choi, H. Pichler, and M. D. Lukin, “Quantum approximate optimization algorithm: Performance, mechanism, and implementation on near-term devices,” Phys. Rev. X, vol. 10, no. 2, art. 021067, Jun. 2020, doi: 10.1103/PhysRevX.10.021067.</w:t>
      </w:r>
    </w:p>
    <w:p>
      <w:pPr>
        <w:pStyle w:val="references"/>
      </w:pPr>
      <w:r>
        <w:t>[12] L. K. Grover, “A fast quantum mechanical algorithm for database search,” in Proc. 28th Annu. ACM Symp. Theory Comput. (STOC), Philadelphia, PA, USA, May 1996, pp. 212–219, doi: 10.1145/237814.237866.</w:t>
      </w:r>
    </w:p>
    <w:p>
      <w:pPr>
        <w:pStyle w:val="references"/>
      </w:pPr>
      <w:r>
        <w:t>[13] M. Grassl, B. Langenberg, M. Roetteler, and R. Steinwandt, “Applying Grover’s algorithm to AES: Quantum resource estimates,” in Proc. 7th Int. Workshop Post-Quantum Cryptography (PQCrypto), LNCS 9606. Cham, Switzerland: Springer, 2016, pp. 29–43, doi: 10.1007/978-3-319-29360-8_3.</w:t>
      </w:r>
    </w:p>
    <w:p>
      <w:pPr>
        <w:pStyle w:val="references"/>
      </w:pPr>
      <w:r>
        <w:t>[14] J. R. McClean, J. Romero, R. Babbush, and A. Aspuru-Guzik, “The theory of variational hybrid quantum-classical algorithms,” New J. Phys., vol. 18, no. 2, art. 023023, Feb. 2016, doi: 10.1088/1367-2630/18/2/023023.</w:t>
      </w:r>
    </w:p>
    <w:p>
      <w:pPr>
        <w:pStyle w:val="references"/>
      </w:pPr>
      <w:r>
        <w:t>[15] A. Callison and N. Chancellor, “Hybrid quantum-classical algorithms in the noisy intermediate-scale quantum era and beyond,” Phys. Rev. A, vol. 106, no. 1, art. 010101, Jul. 2022, doi: 10.1103/PhysRevA.106.010101.</w:t>
      </w:r>
    </w:p>
    <w:p>
      <w:pPr>
        <w:pStyle w:val="references"/>
      </w:pPr>
      <w:r>
        <w:t>[16] T. S. Humble, A. McCaskey, D. I. Lyakh, M. Gowrishankar, A. Frisch, and T. Monz, “Quantum computers for high-performance computing,” IEEE Micro, vol. 41, no. 5, pp. 15–23, Sep./Oct. 2021, doi: 10.1109/MM.2021.3099140.</w:t>
      </w:r>
    </w:p>
    <w:p>
      <w:pPr>
        <w:pStyle w:val="references"/>
      </w:pPr>
      <w:r>
        <w:t>[17] H. Suryotrisongko and Y. Musashi, “Review of cybersecurity research topics, taxonomy and challenges: Interdisciplinary perspective,” in Proc. IEEE 16th Int. Conf. e-Business Engineering (ICEBE), Shanghai, China, Oct. 2019, pp. 162–167, doi: 10.1109/ICEBE.2019.00038.</w:t>
      </w:r>
    </w:p>
    <w:p>
      <w:pPr>
        <w:pStyle w:val="references"/>
      </w:pPr>
      <w:r>
        <w:t>[18] E. Payares and J. C. Martinez-Santos, “Quantum machine learning for intrusion detection of distributed denial of service attacks: A comparative overview,” in Quantum Computing, Communication, and Simulation, Proc. SPIE, vol. 11699, pp. 35–49, Mar. 2021, doi: 10.1117/12.2593297.</w:t>
      </w:r>
    </w:p>
    <w:p>
      <w:pPr>
        <w:pStyle w:val="references"/>
      </w:pPr>
      <w:r>
        <w:t>[19] N. Kilber, D. Kaestle, and S. Wagner, “Cybersecurity for quantum computing,” arXiv:2110.14701, Oct. 2021.</w:t>
      </w:r>
    </w:p>
    <w:p>
      <w:pPr>
        <w:pStyle w:val="references"/>
      </w:pPr>
      <w:r>
        <w:t>[20] M. Tavallaee, E. Bagheri, W. Lu, and A. A. Ghorbani, “A detailed analysis of the KDD CUP 99 data set,” in Proc. IEEE Symp. Comput. Intell. Security Defense Appl. (CISDA), Ottawa, ON, Canada, Jul. 2009, pp. 53–58, doi: 10.1109/CISDA.2009.5356528.</w:t>
      </w:r>
    </w:p>
    <w:p>
      <w:pPr>
        <w:pStyle w:val="references"/>
      </w:pPr>
      <w:r>
        <w:t>[21] I. Sharafaldin, A. H. Lashkari, and A. A. Ghorbani, “Toward generating a new intrusion detection dataset and intrusion traffic characterization,” in Proc. 4th Int. Conf. Inf. Syst. Secur. Privacy (ICISSP), Funchal, Portugal, Jan. 2018, pp. 108–116, doi: 10.5220/0006639801080116.</w:t>
      </w:r>
    </w:p>
    <w:p>
      <w:pPr>
        <w:pStyle w:val="references"/>
      </w:pPr>
      <w:r>
        <w:t>[22] C. Cortes and V. Vapnik, “Support-vector networks,” Mach. Learn., vol. 20, no. 3, pp. 273–297, Sep. 1995, doi: 10.1007/BF00994018.</w:t>
      </w:r>
    </w:p>
    <w:p>
      <w:pPr>
        <w:pStyle w:val="references"/>
      </w:pPr>
      <w:r>
        <w:t>[23] A. Auffeves, “Quantum technologies need a quantum energy initiative,” PRX Quantum, vol. 3, no. 2, art. 020101, May 2022, doi: 10.1103/PRXQuantum.3.020101.</w:t>
      </w:r>
    </w:p>
    <w:p>
      <w:pPr>
        <w:pStyle w:val="references"/>
      </w:pPr>
      <w:r>
        <w:t>[24] E. Strubell, A. Ganesh, and A. McCallum, “Energy and policy considerations for deep learning in NLP,” in Proc. 57th Annu. Meeting Assoc. Comput. Linguistics (ACL), Florence, Italy, Jul. 2019, pp. 3645–3650, doi: 10.18653/v1/P19-1355.</w:t>
      </w:r>
    </w:p>
    <w:p>
      <w:pPr>
        <w:pStyle w:val="references"/>
      </w:pPr>
      <w:r>
        <w:t>[25] Qiskit contributors, “Qiskit: An open-source framework for quantum computing,” Zenodo, 2023, doi: 10.5281/zenodo.2573505.</w:t>
      </w:r>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hybrid_architecture_live.png"/><Relationship Id="rId101" Type="http://purl.oclc.org/ooxml/officeDocument/relationships/image" Target="media/hybrid_pipeline_timeline.png"/><Relationship Id="rId102" Type="http://purl.oclc.org/ooxml/officeDocument/relationships/image" Target="media/hybrid_unit_utilization.png"/><Relationship Id="rId103" Type="http://purl.oclc.org/ooxml/officeDocument/relationships/image" Target="media/hybrid_experiment_comparison.png"/><Relationship Id="rId104" Type="http://purl.oclc.org/ooxml/officeDocument/relationships/image" Target="media/hybrid_energy_breakdown.png"/><Relationship Id="rId105" Type="http://purl.oclc.org/ooxml/officeDocument/relationships/image" Target="media/hybrid_simulation_dashboard.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