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purl.oclc.org/ooxml/officeDocument/relationships/metadata/thumbnail" Target="docProps/thumbnail.emf"/><Relationship Id="rId1" Type="http://purl.oclc.org/ooxml/officeDocument/relationships/officeDocument" Target="word/document.xml"/><Relationship Id="rId4" Type="http://purl.oclc.org/ooxml/officeDocument/relationships/extendedProperties" Target="docProps/app.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04A59AF2" w14:textId="77777777" w:rsidR="00397FF1" w:rsidRDefault="00000000">
      <w:pPr>
        <w:pStyle w:val="papertitle"/>
        <w:spacing w:before="5pt" w:beforeAutospacing="1" w:after="5pt" w:afterAutospacing="1"/>
      </w:pPr>
      <w:r>
        <w:t>HERO: Balancing CPU+GPU+QPU for Cost-Energy-Latency Optimization in Hybrid Quantum-Classical Cloud Workloads</w:t>
      </w:r>
    </w:p>
    <w:p w14:paraId="6035E917" w14:textId="77777777" w:rsidR="00397FF1" w:rsidRDefault="00397FF1">
      <w:pPr>
        <w:pStyle w:val="Author"/>
        <w:spacing w:before="5pt" w:beforeAutospacing="1" w:after="5pt" w:afterAutospacing="1"/>
        <w:rPr>
          <w:sz w:val="16"/>
          <w:szCs w:val="16"/>
        </w:rPr>
        <w:sectPr w:rsidR="00397FF1">
          <w:pgSz w:w="612pt" w:h="792pt" w:code="1"/>
          <w:pgMar w:top="54pt" w:right="44.65pt" w:bottom="72pt" w:left="44.65pt" w:header="36pt" w:footer="36pt" w:gutter="0pt"/>
          <w:cols w:space="36pt"/>
          <w:titlePg/>
          <w:docGrid w:linePitch="360"/>
        </w:sectPr>
      </w:pPr>
    </w:p>
    <w:p w14:paraId="09F9F8D5" w14:textId="77777777" w:rsidR="00397FF1" w:rsidRDefault="00397FF1">
      <w:pPr>
        <w:pStyle w:val="Author"/>
        <w:rPr>
          <w:sz w:val="16"/>
          <w:szCs w:val="16"/>
        </w:rPr>
        <w:sectPr w:rsidR="00397FF1">
          <w:type w:val="continuous"/>
          <w:pgSz w:w="612pt" w:h="792pt" w:code="1"/>
          <w:pgMar w:top="54pt" w:right="44.65pt" w:bottom="72pt" w:left="44.65pt" w:header="36pt" w:footer="36pt" w:gutter="0pt"/>
          <w:cols w:num="2" w:space="14.40pt"/>
          <w:docGrid w:linePitch="360"/>
        </w:sectPr>
      </w:pPr>
    </w:p>
    <w:p w14:paraId="55CBA9BE" w14:textId="77777777" w:rsidR="00397FF1" w:rsidRDefault="00000000">
      <w:pPr>
        <w:pStyle w:val="Abstract"/>
      </w:pPr>
      <w:r>
        <w:rPr>
          <w:i/>
          <w:iCs/>
        </w:rPr>
        <w:t>Abstract</w:t>
      </w:r>
      <w:r>
        <w:t>—We present Heterogeneous Energy-aware Runtime Orchestrator (HERO), a measurement framework that balances Central Processing Unit (CPU), Graphics Processing Unit (GPU), and Quantum Processing Unit (QPU) tiers in cloud platforms to optimize the joint objective of cost, energy, and latency for Quantum-Classical Artificial Intelligence (AI) workloads. We evaluate HERO on two contrasting case studies: (i) cybersecurity intrusion detection on the Knowledge Discovery and Data Mining (KDD) Cup 99 dataset, where Random Forest (RF) achieves an F1 score (harmonic mean of precision and recall) of 0.998 compared to Quantum Support Vector Machine (QSVM) at 0.667, with QSVM consuming approximately 10,000× more energy and costing $2.1M per million classifications versus $1.99 for classical Support Vector Machine (SVM); and (ii) molecular ground-state estimation of the H2 molecule via Variational Quantum Eigensolver (VQE), which achieves chemical accuracy (0.007 Hartree error) but at 854,000× the classical exact-diagonalization energy at this scale. We derive a workload-aware tier allocation rule, validate against four classical baselines (SVM, RF, Gradient Boosting Machine (GBM), K-Nearest Neighbors (KNN)) over 30 statistical runs per experiment, and project crossover thresholds where quantum becomes the only feasible path. The framework, simulator, and measurement scripts are open-source.</w:t>
      </w:r>
    </w:p>
    <w:p w14:paraId="013BB7DE" w14:textId="77777777" w:rsidR="00397FF1" w:rsidRDefault="00000000">
      <w:pPr>
        <w:pStyle w:val="Keywords"/>
      </w:pPr>
      <w:r>
        <w:rPr>
          <w:iCs/>
        </w:rPr>
        <w:t>Keywords—</w:t>
      </w:r>
      <w:r>
        <w:t>hybrid quantum-classical computing, cloud platforms, energy measurement, cost-energy-latency optimization, quantum machine learning, intrusion detection, molecular simulation, VQE, QSVM, NISQ</w:t>
      </w:r>
    </w:p>
    <w:p w14:paraId="6B096AF4" w14:textId="77777777" w:rsidR="00397FF1" w:rsidRDefault="00000000">
      <w:pPr>
        <w:pStyle w:val="Heading1"/>
      </w:pPr>
      <w:r>
        <w:t>Introduction</w:t>
      </w:r>
    </w:p>
    <w:p w14:paraId="63591265" w14:textId="77777777" w:rsidR="00397FF1" w:rsidRDefault="00000000">
      <w:pPr>
        <w:pStyle w:val="BodyText"/>
      </w:pPr>
      <w:r>
        <w:t xml:space="preserve">Cloud computing now exposes a heterogeneous menu of Artificial Intelligence (AI) compute tiers. Central Processing Unit (CPU) instances such as AWS EC2 c7i, Graphics Processing Unit (GPU) instances built around the NVIDIA H100, and Quantum Processing Unit (QPU) services such as IBM Quantum and Amazon Braket are all on-demand, billed per second </w:t>
      </w:r>
      <w:hyperlink w:anchor="ref1" w:history="1">
        <w:r>
          <w:t>[1]</w:t>
        </w:r>
      </w:hyperlink>
      <w:r>
        <w:t xml:space="preserve">, </w:t>
      </w:r>
      <w:hyperlink w:anchor="ref2" w:history="1">
        <w:r>
          <w:t>[2]</w:t>
        </w:r>
      </w:hyperlink>
      <w:r>
        <w:t xml:space="preserve">, </w:t>
      </w:r>
      <w:hyperlink w:anchor="ref25" w:history="1">
        <w:r>
          <w:t>[25]</w:t>
        </w:r>
      </w:hyperlink>
      <w:r>
        <w:t xml:space="preserve">. The promise of Quantum Computing (QC) for cybersecurity </w:t>
      </w:r>
      <w:hyperlink w:anchor="ref4" w:history="1">
        <w:r>
          <w:t>[4]</w:t>
        </w:r>
      </w:hyperlink>
      <w:r>
        <w:t xml:space="preserve">, </w:t>
      </w:r>
      <w:hyperlink w:anchor="ref6" w:history="1">
        <w:r>
          <w:t>[6]</w:t>
        </w:r>
      </w:hyperlink>
      <w:r>
        <w:t xml:space="preserve"> and molecular simulation </w:t>
      </w:r>
      <w:hyperlink w:anchor="ref28" w:history="1">
        <w:r>
          <w:t>[28]</w:t>
        </w:r>
      </w:hyperlink>
      <w:r>
        <w:t xml:space="preserve">, </w:t>
      </w:r>
      <w:hyperlink w:anchor="ref29" w:history="1">
        <w:r>
          <w:t>[29]</w:t>
        </w:r>
      </w:hyperlink>
      <w:r>
        <w:t xml:space="preserve">, </w:t>
      </w:r>
      <w:hyperlink w:anchor="ref30" w:history="1">
        <w:r>
          <w:t>[30]</w:t>
        </w:r>
      </w:hyperlink>
      <w:r>
        <w:t xml:space="preserve"> is real, but the cost—in dollars, in joules, and in latency—is not yet measured side by side with classical alternatives.</w:t>
      </w:r>
    </w:p>
    <w:p w14:paraId="6B238687" w14:textId="77777777" w:rsidR="00397FF1" w:rsidRDefault="00000000">
      <w:pPr>
        <w:pStyle w:val="BodyText"/>
      </w:pPr>
      <w:r>
        <w:t xml:space="preserve">The practical question facing a cloud architect is therefore concrete: given a workload, how should it be allocated across CPU, GPU, and QPU tiers to optimize cost, energy, and latency jointly? Existing studies typically measure a single workload on a single tier under a single metric. Quantum kernel benchmarks report accuracy </w:t>
      </w:r>
      <w:hyperlink w:anchor="ref6" w:history="1">
        <w:r>
          <w:t>[6]</w:t>
        </w:r>
      </w:hyperlink>
      <w:r>
        <w:t xml:space="preserve"> but not cloud cost. Energy-aware computing studies </w:t>
      </w:r>
      <w:hyperlink w:anchor="ref23" w:history="1">
        <w:r>
          <w:t>[23]</w:t>
        </w:r>
      </w:hyperlink>
      <w:r>
        <w:t xml:space="preserve">, </w:t>
      </w:r>
      <w:hyperlink w:anchor="ref24" w:history="1">
        <w:r>
          <w:t>[24]</w:t>
        </w:r>
      </w:hyperlink>
      <w:r>
        <w:t xml:space="preserve"> cover classical deep learning but not quantum pipelines. Hybrid Quantum-Classical surveys </w:t>
      </w:r>
      <w:hyperlink w:anchor="ref5" w:history="1">
        <w:r>
          <w:t>[5]</w:t>
        </w:r>
      </w:hyperlink>
      <w:r>
        <w:t xml:space="preserve"> articulate vision without measured numbers across two contrasting domains.</w:t>
      </w:r>
    </w:p>
    <w:p w14:paraId="4CECE114" w14:textId="77777777" w:rsidR="00397FF1" w:rsidRDefault="00000000">
      <w:pPr>
        <w:pStyle w:val="BodyText"/>
      </w:pPr>
      <w:r>
        <w:t>Our contribution is HERO, a measurement framework that runs the same orchestration and accounting machinery across CPU+GPU+QPU on two structurally different workloads: cybersecurity intrusion detection and molecular ground-state estimation. From the resulting measurements we derive a workload-aware tier allocation rule (Algorithm 1) and project the dimensions and qubit counts at which quantum becomes either the cheaper or the only feasible path. The framework, the data, and all measurement scripts are open-source.</w:t>
      </w:r>
    </w:p>
    <w:p w14:paraId="368395CE" w14:textId="77777777" w:rsidR="00397FF1" w:rsidRDefault="00000000">
      <w:pPr>
        <w:pStyle w:val="BodyText"/>
      </w:pPr>
      <w:r>
        <w:t>The remainder of this paper is organized as follows. Section II reviews related work. Section III describes the HERO framework and energy model. Section IV introduces the two workloads. Section V details the cloud deployment model and pricing. Section VI describes the experimental setup. Section VII reports results. Section VIII presents the cross-workload analysis and the allocation rule. Sections IX through XI cover discussion, limitations, and conclusions.</w:t>
      </w:r>
    </w:p>
    <w:p w14:paraId="7116DBFF" w14:textId="77777777" w:rsidR="00397FF1" w:rsidRDefault="00000000">
      <w:pPr>
        <w:pStyle w:val="Heading1"/>
      </w:pPr>
      <w:r>
        <w:t>Related Work</w:t>
      </w:r>
    </w:p>
    <w:p w14:paraId="1502AF83" w14:textId="77777777" w:rsidR="00397FF1" w:rsidRDefault="00000000">
      <w:pPr>
        <w:pStyle w:val="BodyText"/>
      </w:pPr>
      <w:r>
        <w:t xml:space="preserve">Quantum machine learning research has produced two pillars directly relevant to this study. Havlicek et al. </w:t>
      </w:r>
      <w:hyperlink w:anchor="ref6" w:history="1">
        <w:r>
          <w:t>[6]</w:t>
        </w:r>
      </w:hyperlink>
      <w:r>
        <w:t xml:space="preserve"> introduced the ZZ feature map and demonstrated that the resulting quantum kernel can be consumed by a classical Support Vector Machine (SVM) </w:t>
      </w:r>
      <w:hyperlink w:anchor="ref22" w:history="1">
        <w:r>
          <w:t>[22]</w:t>
        </w:r>
      </w:hyperlink>
      <w:r>
        <w:t xml:space="preserve">. Schuld and Killoran </w:t>
      </w:r>
      <w:hyperlink w:anchor="ref7" w:history="1">
        <w:r>
          <w:t>[7]</w:t>
        </w:r>
      </w:hyperlink>
      <w:r>
        <w:t xml:space="preserve"> formalized the feature-Hilbert-space view, tying potential advantage to data distributions whose induced kernels are hard to simulate classically. Biamonte et al. </w:t>
      </w:r>
      <w:hyperlink w:anchor="ref5" w:history="1">
        <w:r>
          <w:t>[5]</w:t>
        </w:r>
      </w:hyperlink>
      <w:r>
        <w:t xml:space="preserve"> survey the broader Quantum Machine Learning (QML) landscape.</w:t>
      </w:r>
    </w:p>
    <w:p w14:paraId="23140165" w14:textId="77777777" w:rsidR="00397FF1" w:rsidRDefault="00000000">
      <w:pPr>
        <w:pStyle w:val="BodyText"/>
      </w:pPr>
      <w:r>
        <w:t xml:space="preserve">On the molecular side, Peruzzo et al. </w:t>
      </w:r>
      <w:hyperlink w:anchor="ref28" w:history="1">
        <w:r>
          <w:t>[28]</w:t>
        </w:r>
      </w:hyperlink>
      <w:r>
        <w:t xml:space="preserve"> introduced the Variational Quantum Eigensolver (VQE), Kandala et al. </w:t>
      </w:r>
      <w:hyperlink w:anchor="ref29" w:history="1">
        <w:r>
          <w:t>[29]</w:t>
        </w:r>
      </w:hyperlink>
      <w:r>
        <w:t xml:space="preserve"> demonstrated VQE on real superconducting hardware for H2, LiH, and BeH2, and Cao et al. </w:t>
      </w:r>
      <w:hyperlink w:anchor="ref30" w:history="1">
        <w:r>
          <w:t>[30]</w:t>
        </w:r>
      </w:hyperlink>
      <w:r>
        <w:t xml:space="preserve"> survey the broader landscape of quantum chemistry and identify drug discovery and materials science as the workloads where Quantum Processing Units (QPUs) are most likely to deliver advantage.</w:t>
      </w:r>
    </w:p>
    <w:p w14:paraId="51863A22" w14:textId="77777777" w:rsidR="00397FF1" w:rsidRDefault="00000000">
      <w:pPr>
        <w:pStyle w:val="BodyText"/>
      </w:pPr>
      <w:r>
        <w:t xml:space="preserve">Energy as a first-class metric is championed by Auffeves </w:t>
      </w:r>
      <w:hyperlink w:anchor="ref23" w:history="1">
        <w:r>
          <w:t>[23]</w:t>
        </w:r>
      </w:hyperlink>
      <w:r>
        <w:t xml:space="preserve"> for quantum platforms and by Strubell et al. </w:t>
      </w:r>
      <w:hyperlink w:anchor="ref24" w:history="1">
        <w:r>
          <w:t>[24]</w:t>
        </w:r>
      </w:hyperlink>
      <w:r>
        <w:t xml:space="preserve"> for classical Natural Language Processing (NLP). Cybersecurity benchmarking is anchored by KDD Cup 99 </w:t>
      </w:r>
      <w:hyperlink w:anchor="ref26" w:history="1">
        <w:r>
          <w:t>[26]</w:t>
        </w:r>
      </w:hyperlink>
      <w:r>
        <w:t xml:space="preserve"> and its NSL-KDD (NSL-KDD—a refined version of the KDD Cup 99 dataset that removes redundant records) successor </w:t>
      </w:r>
      <w:hyperlink w:anchor="ref27" w:history="1">
        <w:r>
          <w:t>[27]</w:t>
        </w:r>
      </w:hyperlink>
      <w:r>
        <w:t xml:space="preserve">. Cloud orchestration of heterogeneous accelerators is discussed by Humble et al. </w:t>
      </w:r>
      <w:hyperlink w:anchor="ref16" w:history="1">
        <w:r>
          <w:t>[16]</w:t>
        </w:r>
      </w:hyperlink>
      <w:r>
        <w:t xml:space="preserve"> and Callison and Chancellor </w:t>
      </w:r>
      <w:hyperlink w:anchor="ref15" w:history="1">
        <w:r>
          <w:t>[15]</w:t>
        </w:r>
      </w:hyperlink>
      <w:r>
        <w:t>.</w:t>
      </w:r>
    </w:p>
    <w:p w14:paraId="25711E44" w14:textId="77777777" w:rsidR="00397FF1" w:rsidRDefault="00000000">
      <w:pPr>
        <w:pStyle w:val="BodyText"/>
      </w:pPr>
      <w:r>
        <w:t>The gap is plain: no prior work performs joint accuracy-latency-energy measurements across CPU, GPU, and QPU tiers for two contrasting workloads under a unified cost model. HERO closes this gap.</w:t>
      </w:r>
    </w:p>
    <w:p w14:paraId="7FA2F077" w14:textId="77777777" w:rsidR="00397FF1" w:rsidRDefault="00000000">
      <w:pPr>
        <w:pStyle w:val="Heading1"/>
      </w:pPr>
      <w:r>
        <w:lastRenderedPageBreak/>
        <w:t>HERO Framework</w:t>
      </w:r>
    </w:p>
    <w:p w14:paraId="28EFF64D" w14:textId="77777777" w:rsidR="00397FF1" w:rsidRDefault="00000000">
      <w:pPr>
        <w:pStyle w:val="Heading2"/>
      </w:pPr>
      <w:r>
        <w:t>A. Architecture</w:t>
      </w:r>
    </w:p>
    <w:p w14:paraId="18C89F33" w14:textId="77777777" w:rsidR="00397FF1" w:rsidRDefault="00000000">
      <w:pPr>
        <w:pStyle w:val="BodyText"/>
      </w:pPr>
      <w:r>
        <w:t xml:space="preserve">HERO is a four-tier system composed of a central Orchestrator and three execution backends: CPU, GPU, and QPU. The Orchestrator walks a Directed Acyclic Graph (DAG) of tasks in topological order, dispatches each task to the backend indicated by its tier label, and records per-task runtime, energy, and (after Section V) cloud cost. The QPU backend in this study is Qiskit Aer </w:t>
      </w:r>
      <w:hyperlink w:anchor="ref25" w:history="1">
        <w:r>
          <w:t>[25]</w:t>
        </w:r>
      </w:hyperlink>
      <w:r>
        <w:t xml:space="preserve"> in noiseless mode; the framework is backend-agnostic and can be retargeted to IBM Quantum or Amazon Braket </w:t>
      </w:r>
      <w:hyperlink w:anchor="ref22" w:history="1">
        <w:r>
          <w:t>[22]</w:t>
        </w:r>
      </w:hyperlink>
      <w:r>
        <w:t xml:space="preserve">, </w:t>
      </w:r>
      <w:hyperlink w:anchor="ref25" w:history="1">
        <w:r>
          <w:t>[25]</w:t>
        </w:r>
      </w:hyperlink>
      <w:r>
        <w:t xml:space="preserve"> without changing the task graph. Fig. 1 shows the live architecture.</w:t>
      </w:r>
    </w:p>
    <w:p w14:paraId="639015FB" w14:textId="77777777" w:rsidR="00397FF1" w:rsidRDefault="00000000">
      <w:r>
        <w:rPr>
          <w:noProof/>
        </w:rPr>
        <w:drawing>
          <wp:inline distT="0" distB="0" distL="0" distR="0" wp14:anchorId="57906645" wp14:editId="59B05861">
            <wp:extent cx="2971800" cy="2971800"/>
            <wp:effectExtent l="0" t="0" r="0" b="0"/>
            <wp:docPr id="1"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 name="hybrid_architecture_live.png"/>
                    <pic:cNvPicPr/>
                  </pic:nvPicPr>
                  <pic:blipFill>
                    <a:blip r:embed="rId8"/>
                    <a:stretch>
                      <a:fillRect/>
                    </a:stretch>
                  </pic:blipFill>
                  <pic:spPr>
                    <a:xfrm>
                      <a:off x="0" y="0"/>
                      <a:ext cx="2971800" cy="2971800"/>
                    </a:xfrm>
                    <a:prstGeom prst="rect">
                      <a:avLst/>
                    </a:prstGeom>
                  </pic:spPr>
                </pic:pic>
              </a:graphicData>
            </a:graphic>
          </wp:inline>
        </w:drawing>
      </w:r>
    </w:p>
    <w:p w14:paraId="29A82FB4" w14:textId="77777777" w:rsidR="00397FF1" w:rsidRDefault="00000000">
      <w:pPr>
        <w:pStyle w:val="tablehead"/>
      </w:pPr>
      <w:r>
        <w:t>Fig. 1.  HERO four-tier architecture (CPU, GPU, QPU, Orchestrator) with example workloads.</w:t>
      </w:r>
    </w:p>
    <w:p w14:paraId="343AC6FC" w14:textId="77777777" w:rsidR="00397FF1" w:rsidRDefault="00000000">
      <w:pPr>
        <w:pStyle w:val="Heading2"/>
      </w:pPr>
      <w:r>
        <w:t>B. End-to-End Algorithm</w:t>
      </w:r>
    </w:p>
    <w:p w14:paraId="4DF08D09" w14:textId="77777777" w:rsidR="00397FF1" w:rsidRDefault="00000000">
      <w:pPr>
        <w:pStyle w:val="BodyText"/>
      </w:pPr>
      <w:r>
        <w:t>Algorithm 1 specifies the entire HERO pipeline—initial tier allocation, multi-run measurement, aggregation, Pareto selection, and final recommendation—as a single procedure.</w:t>
      </w:r>
    </w:p>
    <w:p w14:paraId="205F63CB" w14:textId="77777777" w:rsidR="00397FF1" w:rsidRDefault="00000000">
      <w:pPr>
        <w:pStyle w:val="tablehead"/>
      </w:pPr>
      <w:r>
        <w:t>Algorithm 1: HERO -- End-to-End Workload Allocation, Measurement, and Selection</w:t>
      </w:r>
    </w:p>
    <w:tbl>
      <w:tblPr>
        <w:tblW w:w="0pt" w:type="auto"/>
        <w:jc w:val="center"/>
        <w:tblBorders>
          <w:top w:val="single" w:sz="8" w:space="0" w:color="auto"/>
          <w:start w:val="single" w:sz="8" w:space="0" w:color="auto"/>
          <w:bottom w:val="single" w:sz="8" w:space="0" w:color="auto"/>
          <w:end w:val="single" w:sz="8" w:space="0" w:color="auto"/>
        </w:tblBorders>
        <w:tblLook w:firstRow="1" w:lastRow="0" w:firstColumn="1" w:lastColumn="0" w:noHBand="0" w:noVBand="1"/>
      </w:tblPr>
      <w:tblGrid>
        <w:gridCol w:w="5063"/>
      </w:tblGrid>
      <w:tr w:rsidR="00397FF1" w14:paraId="23F0FFB9" w14:textId="77777777">
        <w:trPr>
          <w:jc w:val="center"/>
        </w:trPr>
        <w:tc>
          <w:tcPr>
            <w:tcW w:w="0pt" w:type="auto"/>
            <w:tcBorders>
              <w:top w:val="single" w:sz="8" w:space="0" w:color="auto"/>
              <w:start w:val="single" w:sz="8" w:space="0" w:color="auto"/>
              <w:bottom w:val="single" w:sz="8" w:space="0" w:color="auto"/>
              <w:end w:val="single" w:sz="8" w:space="0" w:color="auto"/>
            </w:tcBorders>
          </w:tcPr>
          <w:p w14:paraId="06842E34" w14:textId="77777777" w:rsidR="00397FF1" w:rsidRDefault="00000000">
            <w:pPr>
              <w:pStyle w:val="BodyText"/>
            </w:pPr>
            <w:r>
              <w:rPr>
                <w:rFonts w:ascii="Courier New" w:hAnsi="Courier New" w:cs="Courier New"/>
                <w:sz w:val="16"/>
                <w:szCs w:val="16"/>
              </w:rPr>
              <w:t>Input:  Workload W (type, size n, feature dim d), runs N=30,</w:t>
            </w:r>
          </w:p>
          <w:p w14:paraId="17ED30FF" w14:textId="77777777" w:rsidR="00397FF1" w:rsidRDefault="00000000">
            <w:pPr>
              <w:pStyle w:val="BodyText"/>
            </w:pPr>
            <w:r>
              <w:rPr>
                <w:rFonts w:ascii="Courier New" w:hAnsi="Courier New" w:cs="Courier New"/>
                <w:sz w:val="16"/>
                <w:szCs w:val="16"/>
              </w:rPr>
              <w:t xml:space="preserve">        tiers T={CPU, GPU, QPU}</w:t>
            </w:r>
          </w:p>
          <w:p w14:paraId="017D71A5" w14:textId="77777777" w:rsidR="00397FF1" w:rsidRDefault="00000000">
            <w:pPr>
              <w:pStyle w:val="BodyText"/>
            </w:pPr>
            <w:r>
              <w:rPr>
                <w:rFonts w:ascii="Courier New" w:hAnsi="Courier New" w:cs="Courier New"/>
                <w:sz w:val="16"/>
                <w:szCs w:val="16"/>
              </w:rPr>
              <w:t>Output: Recommended tier t*, metrics (accuracy, latency,</w:t>
            </w:r>
          </w:p>
          <w:p w14:paraId="447D7399" w14:textId="77777777" w:rsidR="00397FF1" w:rsidRDefault="00000000">
            <w:pPr>
              <w:pStyle w:val="BodyText"/>
            </w:pPr>
            <w:r>
              <w:rPr>
                <w:rFonts w:ascii="Courier New" w:hAnsi="Courier New" w:cs="Courier New"/>
                <w:sz w:val="16"/>
                <w:szCs w:val="16"/>
              </w:rPr>
              <w:t xml:space="preserve">        energy, cost)</w:t>
            </w:r>
          </w:p>
          <w:p w14:paraId="1BC89851" w14:textId="77777777" w:rsidR="00397FF1" w:rsidRDefault="00397FF1">
            <w:pPr>
              <w:pStyle w:val="BodyText"/>
            </w:pPr>
          </w:p>
          <w:p w14:paraId="7988114C" w14:textId="77777777" w:rsidR="00397FF1" w:rsidRDefault="00000000">
            <w:pPr>
              <w:pStyle w:val="BodyText"/>
            </w:pPr>
            <w:r>
              <w:rPr>
                <w:rFonts w:ascii="Courier New" w:hAnsi="Courier New" w:cs="Courier New"/>
                <w:sz w:val="16"/>
                <w:szCs w:val="16"/>
              </w:rPr>
              <w:t>STEP 1 -- ALLOCATE TIER</w:t>
            </w:r>
          </w:p>
          <w:p w14:paraId="740C8173" w14:textId="77777777" w:rsidR="00397FF1" w:rsidRDefault="00000000">
            <w:pPr>
              <w:pStyle w:val="BodyText"/>
            </w:pPr>
            <w:r>
              <w:rPr>
                <w:rFonts w:ascii="Courier New" w:hAnsi="Courier New" w:cs="Courier New"/>
                <w:sz w:val="16"/>
                <w:szCs w:val="16"/>
              </w:rPr>
              <w:t xml:space="preserve"> 1: if W.type = MOLECULAR_SIM then t &lt;- QPU if n&gt;30 else CPU</w:t>
            </w:r>
          </w:p>
          <w:p w14:paraId="1ECF07E6" w14:textId="77777777" w:rsidR="00397FF1" w:rsidRDefault="00000000">
            <w:pPr>
              <w:pStyle w:val="BodyText"/>
            </w:pPr>
            <w:r>
              <w:rPr>
                <w:rFonts w:ascii="Courier New" w:hAnsi="Courier New" w:cs="Courier New"/>
                <w:sz w:val="16"/>
                <w:szCs w:val="16"/>
              </w:rPr>
              <w:t xml:space="preserve"> 2: if W.type = CLASSICAL_ML  then t &lt;- CPU if d&lt;100</w:t>
            </w:r>
          </w:p>
          <w:p w14:paraId="076EC46C" w14:textId="77777777" w:rsidR="00397FF1" w:rsidRDefault="00000000">
            <w:pPr>
              <w:pStyle w:val="BodyText"/>
            </w:pPr>
            <w:r>
              <w:rPr>
                <w:rFonts w:ascii="Courier New" w:hAnsi="Courier New" w:cs="Courier New"/>
                <w:sz w:val="16"/>
                <w:szCs w:val="16"/>
              </w:rPr>
              <w:t xml:space="preserve">      else (GPU if d&lt;1e4 else MEASURE)</w:t>
            </w:r>
          </w:p>
          <w:p w14:paraId="3F7209BF" w14:textId="77777777" w:rsidR="00397FF1" w:rsidRDefault="00000000">
            <w:pPr>
              <w:pStyle w:val="BodyText"/>
            </w:pPr>
            <w:r>
              <w:rPr>
                <w:rFonts w:ascii="Courier New" w:hAnsi="Courier New" w:cs="Courier New"/>
                <w:sz w:val="16"/>
                <w:szCs w:val="16"/>
              </w:rPr>
              <w:t xml:space="preserve"> 3: if W.type = COMBINATORIAL then t &lt;- CPU if n&lt;50 else QPU</w:t>
            </w:r>
          </w:p>
          <w:p w14:paraId="14ECCC2A" w14:textId="77777777" w:rsidR="00397FF1" w:rsidRDefault="00397FF1">
            <w:pPr>
              <w:pStyle w:val="BodyText"/>
            </w:pPr>
          </w:p>
          <w:p w14:paraId="5B6130B0" w14:textId="77777777" w:rsidR="00397FF1" w:rsidRDefault="00000000">
            <w:pPr>
              <w:pStyle w:val="BodyText"/>
            </w:pPr>
            <w:r>
              <w:rPr>
                <w:rFonts w:ascii="Courier New" w:hAnsi="Courier New" w:cs="Courier New"/>
                <w:sz w:val="16"/>
                <w:szCs w:val="16"/>
              </w:rPr>
              <w:t>STEP 2 -- MEASURE ON EACH TIER (N runs)</w:t>
            </w:r>
          </w:p>
          <w:p w14:paraId="3A95AA14" w14:textId="77777777" w:rsidR="00397FF1" w:rsidRDefault="00000000">
            <w:pPr>
              <w:pStyle w:val="BodyText"/>
            </w:pPr>
            <w:r>
              <w:rPr>
                <w:rFonts w:ascii="Courier New" w:hAnsi="Courier New" w:cs="Courier New"/>
                <w:sz w:val="16"/>
                <w:szCs w:val="16"/>
              </w:rPr>
              <w:t xml:space="preserve"> 4: for tier in T do</w:t>
            </w:r>
          </w:p>
          <w:p w14:paraId="1AAA8873" w14:textId="77777777" w:rsidR="00397FF1" w:rsidRDefault="00000000">
            <w:pPr>
              <w:pStyle w:val="BodyText"/>
            </w:pPr>
            <w:r>
              <w:rPr>
                <w:rFonts w:ascii="Courier New" w:hAnsi="Courier New" w:cs="Courier New"/>
                <w:sz w:val="16"/>
                <w:szCs w:val="16"/>
              </w:rPr>
              <w:t xml:space="preserve"> 5:   for run = 1..N do</w:t>
            </w:r>
          </w:p>
          <w:p w14:paraId="1B416CAF" w14:textId="77777777" w:rsidR="00397FF1" w:rsidRDefault="00000000">
            <w:pPr>
              <w:pStyle w:val="BodyText"/>
            </w:pPr>
            <w:r>
              <w:rPr>
                <w:rFonts w:ascii="Courier New" w:hAnsi="Courier New" w:cs="Courier New"/>
                <w:sz w:val="16"/>
                <w:szCs w:val="16"/>
              </w:rPr>
              <w:t xml:space="preserve"> 6:     start &lt;- clock(); r &lt;- Dispatch(W, tier);</w:t>
            </w:r>
          </w:p>
          <w:p w14:paraId="37F3454C" w14:textId="77777777" w:rsidR="00397FF1" w:rsidRDefault="00000000">
            <w:pPr>
              <w:pStyle w:val="BodyText"/>
            </w:pPr>
            <w:r>
              <w:rPr>
                <w:rFonts w:ascii="Courier New" w:hAnsi="Courier New" w:cs="Courier New"/>
                <w:sz w:val="16"/>
                <w:szCs w:val="16"/>
              </w:rPr>
              <w:t xml:space="preserve">        end &lt;- clock()</w:t>
            </w:r>
          </w:p>
          <w:p w14:paraId="0AB658A4" w14:textId="77777777" w:rsidR="00397FF1" w:rsidRDefault="00000000">
            <w:pPr>
              <w:pStyle w:val="BodyText"/>
            </w:pPr>
            <w:r>
              <w:rPr>
                <w:rFonts w:ascii="Courier New" w:hAnsi="Courier New" w:cs="Courier New"/>
                <w:sz w:val="16"/>
                <w:szCs w:val="16"/>
              </w:rPr>
              <w:t xml:space="preserve"> 7:     latency &lt;- end - start</w:t>
            </w:r>
          </w:p>
          <w:p w14:paraId="107351DD" w14:textId="77777777" w:rsidR="00397FF1" w:rsidRDefault="00000000">
            <w:pPr>
              <w:pStyle w:val="BodyText"/>
            </w:pPr>
            <w:r>
              <w:rPr>
                <w:rFonts w:ascii="Courier New" w:hAnsi="Courier New" w:cs="Courier New"/>
                <w:sz w:val="16"/>
                <w:szCs w:val="16"/>
              </w:rPr>
              <w:t xml:space="preserve"> 8:     energy  &lt;- latency x P[tier] x PUE     (Eq. 1)</w:t>
            </w:r>
          </w:p>
          <w:p w14:paraId="33184D4C" w14:textId="77777777" w:rsidR="00397FF1" w:rsidRDefault="00000000">
            <w:pPr>
              <w:pStyle w:val="BodyText"/>
            </w:pPr>
            <w:r>
              <w:rPr>
                <w:rFonts w:ascii="Courier New" w:hAnsi="Courier New" w:cs="Courier New"/>
                <w:sz w:val="16"/>
                <w:szCs w:val="16"/>
              </w:rPr>
              <w:t xml:space="preserve"> 9:     cost    &lt;- latency x CloudPrice[tier]  (Table III)</w:t>
            </w:r>
          </w:p>
          <w:p w14:paraId="465A376C" w14:textId="77777777" w:rsidR="00397FF1" w:rsidRDefault="00000000">
            <w:pPr>
              <w:pStyle w:val="BodyText"/>
            </w:pPr>
            <w:r>
              <w:rPr>
                <w:rFonts w:ascii="Courier New" w:hAnsi="Courier New" w:cs="Courier New"/>
                <w:sz w:val="16"/>
                <w:szCs w:val="16"/>
              </w:rPr>
              <w:t>10:     accuracy &lt;- Evaluate(r)</w:t>
            </w:r>
          </w:p>
          <w:p w14:paraId="0E0D09C5" w14:textId="77777777" w:rsidR="00397FF1" w:rsidRDefault="00000000">
            <w:pPr>
              <w:pStyle w:val="BodyText"/>
            </w:pPr>
            <w:r>
              <w:rPr>
                <w:rFonts w:ascii="Courier New" w:hAnsi="Courier New" w:cs="Courier New"/>
                <w:sz w:val="16"/>
                <w:szCs w:val="16"/>
              </w:rPr>
              <w:t>11:     record(W, tier, run, accuracy, latency, energy, cost)</w:t>
            </w:r>
          </w:p>
          <w:p w14:paraId="253C94BF" w14:textId="77777777" w:rsidR="00397FF1" w:rsidRDefault="00397FF1">
            <w:pPr>
              <w:pStyle w:val="BodyText"/>
            </w:pPr>
          </w:p>
          <w:p w14:paraId="2023367C" w14:textId="77777777" w:rsidR="00397FF1" w:rsidRDefault="00000000">
            <w:pPr>
              <w:pStyle w:val="BodyText"/>
            </w:pPr>
            <w:r>
              <w:rPr>
                <w:rFonts w:ascii="Courier New" w:hAnsi="Courier New" w:cs="Courier New"/>
                <w:sz w:val="16"/>
                <w:szCs w:val="16"/>
              </w:rPr>
              <w:t>STEP 3 -- AGGREGATE</w:t>
            </w:r>
          </w:p>
          <w:p w14:paraId="01EDF763" w14:textId="77777777" w:rsidR="00397FF1" w:rsidRDefault="00000000">
            <w:pPr>
              <w:pStyle w:val="BodyText"/>
            </w:pPr>
            <w:r>
              <w:rPr>
                <w:rFonts w:ascii="Courier New" w:hAnsi="Courier New" w:cs="Courier New"/>
                <w:sz w:val="16"/>
                <w:szCs w:val="16"/>
              </w:rPr>
              <w:t>12: report mean +/- std for accuracy, latency, energy, cost</w:t>
            </w:r>
          </w:p>
          <w:p w14:paraId="21383741" w14:textId="77777777" w:rsidR="00397FF1" w:rsidRDefault="00397FF1">
            <w:pPr>
              <w:pStyle w:val="BodyText"/>
            </w:pPr>
          </w:p>
          <w:p w14:paraId="04AC8B7E" w14:textId="77777777" w:rsidR="00397FF1" w:rsidRDefault="00000000">
            <w:pPr>
              <w:pStyle w:val="BodyText"/>
            </w:pPr>
            <w:r>
              <w:rPr>
                <w:rFonts w:ascii="Courier New" w:hAnsi="Courier New" w:cs="Courier New"/>
                <w:sz w:val="16"/>
                <w:szCs w:val="16"/>
              </w:rPr>
              <w:t>STEP 4 -- PARETO SELECTION</w:t>
            </w:r>
          </w:p>
          <w:p w14:paraId="6A7000D7" w14:textId="77777777" w:rsidR="00397FF1" w:rsidRDefault="00000000">
            <w:pPr>
              <w:pStyle w:val="BodyText"/>
            </w:pPr>
            <w:r>
              <w:rPr>
                <w:rFonts w:ascii="Courier New" w:hAnsi="Courier New" w:cs="Courier New"/>
                <w:sz w:val="16"/>
                <w:szCs w:val="16"/>
              </w:rPr>
              <w:t>13: P &lt;- emptyset</w:t>
            </w:r>
          </w:p>
          <w:p w14:paraId="65DD2E6A" w14:textId="77777777" w:rsidR="00397FF1" w:rsidRDefault="00000000">
            <w:pPr>
              <w:pStyle w:val="BodyText"/>
            </w:pPr>
            <w:r>
              <w:rPr>
                <w:rFonts w:ascii="Courier New" w:hAnsi="Courier New" w:cs="Courier New"/>
                <w:sz w:val="16"/>
                <w:szCs w:val="16"/>
              </w:rPr>
              <w:t>14: for each method m do</w:t>
            </w:r>
          </w:p>
          <w:p w14:paraId="714A9170" w14:textId="77777777" w:rsidR="00397FF1" w:rsidRDefault="00000000">
            <w:pPr>
              <w:pStyle w:val="BodyText"/>
            </w:pPr>
            <w:r>
              <w:rPr>
                <w:rFonts w:ascii="Courier New" w:hAnsi="Courier New" w:cs="Courier New"/>
                <w:sz w:val="16"/>
                <w:szCs w:val="16"/>
              </w:rPr>
              <w:t>15:   if no other m' dominates m on</w:t>
            </w:r>
          </w:p>
          <w:p w14:paraId="54BA7C55" w14:textId="77777777" w:rsidR="00397FF1" w:rsidRDefault="00000000">
            <w:pPr>
              <w:pStyle w:val="BodyText"/>
            </w:pPr>
            <w:r>
              <w:rPr>
                <w:rFonts w:ascii="Courier New" w:hAnsi="Courier New" w:cs="Courier New"/>
                <w:sz w:val="16"/>
                <w:szCs w:val="16"/>
              </w:rPr>
              <w:t xml:space="preserve">        (cost, energy, latency, -accuracy)</w:t>
            </w:r>
          </w:p>
          <w:p w14:paraId="1140B275" w14:textId="77777777" w:rsidR="00397FF1" w:rsidRDefault="00000000">
            <w:pPr>
              <w:pStyle w:val="BodyText"/>
            </w:pPr>
            <w:r>
              <w:rPr>
                <w:rFonts w:ascii="Courier New" w:hAnsi="Courier New" w:cs="Courier New"/>
                <w:sz w:val="16"/>
                <w:szCs w:val="16"/>
              </w:rPr>
              <w:t>16:     then P &lt;- P union {m}</w:t>
            </w:r>
          </w:p>
          <w:p w14:paraId="7A0AE35B" w14:textId="77777777" w:rsidR="00397FF1" w:rsidRDefault="00397FF1">
            <w:pPr>
              <w:pStyle w:val="BodyText"/>
            </w:pPr>
          </w:p>
          <w:p w14:paraId="0EC10463" w14:textId="77777777" w:rsidR="00397FF1" w:rsidRDefault="00000000">
            <w:pPr>
              <w:pStyle w:val="BodyText"/>
            </w:pPr>
            <w:r>
              <w:rPr>
                <w:rFonts w:ascii="Courier New" w:hAnsi="Courier New" w:cs="Courier New"/>
                <w:sz w:val="16"/>
                <w:szCs w:val="16"/>
              </w:rPr>
              <w:t>STEP 5 -- RETURN RECOMMENDATION</w:t>
            </w:r>
          </w:p>
          <w:p w14:paraId="1DD1F3DA" w14:textId="77777777" w:rsidR="00397FF1" w:rsidRDefault="00000000">
            <w:pPr>
              <w:pStyle w:val="BodyText"/>
            </w:pPr>
            <w:r>
              <w:rPr>
                <w:rFonts w:ascii="Courier New" w:hAnsi="Courier New" w:cs="Courier New"/>
                <w:sz w:val="16"/>
                <w:szCs w:val="16"/>
              </w:rPr>
              <w:t>17: t* &lt;- argmin over P of</w:t>
            </w:r>
          </w:p>
          <w:p w14:paraId="1A84BA47" w14:textId="77777777" w:rsidR="00397FF1" w:rsidRDefault="00000000">
            <w:pPr>
              <w:pStyle w:val="BodyText"/>
            </w:pPr>
            <w:r>
              <w:rPr>
                <w:rFonts w:ascii="Courier New" w:hAnsi="Courier New" w:cs="Courier New"/>
                <w:sz w:val="16"/>
                <w:szCs w:val="16"/>
              </w:rPr>
              <w:t xml:space="preserve">      (alpha*cost + beta*energy + gamma*latency</w:t>
            </w:r>
          </w:p>
          <w:p w14:paraId="70EB0597" w14:textId="77777777" w:rsidR="00397FF1" w:rsidRDefault="00000000">
            <w:pPr>
              <w:pStyle w:val="BodyText"/>
            </w:pPr>
            <w:r>
              <w:rPr>
                <w:rFonts w:ascii="Courier New" w:hAnsi="Courier New" w:cs="Courier New"/>
                <w:sz w:val="16"/>
                <w:szCs w:val="16"/>
              </w:rPr>
              <w:t xml:space="preserve">       - delta*accuracy)</w:t>
            </w:r>
          </w:p>
          <w:p w14:paraId="03425CDB" w14:textId="77777777" w:rsidR="00397FF1" w:rsidRDefault="00000000">
            <w:pPr>
              <w:pStyle w:val="BodyText"/>
            </w:pPr>
            <w:r>
              <w:rPr>
                <w:rFonts w:ascii="Courier New" w:hAnsi="Courier New" w:cs="Courier New"/>
                <w:sz w:val="16"/>
                <w:szCs w:val="16"/>
              </w:rPr>
              <w:t>18: return t*, statistics, P</w:t>
            </w:r>
          </w:p>
        </w:tc>
      </w:tr>
    </w:tbl>
    <w:p w14:paraId="6F8F1E98" w14:textId="77777777" w:rsidR="00397FF1" w:rsidRDefault="00000000">
      <w:pPr>
        <w:pStyle w:val="Heading2"/>
      </w:pPr>
      <w:r>
        <w:t>C. Energy Model</w:t>
      </w:r>
    </w:p>
    <w:p w14:paraId="60959B83" w14:textId="77777777" w:rsidR="00397FF1" w:rsidRDefault="00000000">
      <w:pPr>
        <w:pStyle w:val="BodyText"/>
      </w:pPr>
      <w:r>
        <w:t xml:space="preserve">Following Auffeves </w:t>
      </w:r>
      <w:hyperlink w:anchor="ref23" w:history="1">
        <w:r>
          <w:t>[23]</w:t>
        </w:r>
      </w:hyperlink>
      <w:r>
        <w:t xml:space="preserve"> and Strubell et al. </w:t>
      </w:r>
      <w:hyperlink w:anchor="ref24" w:history="1">
        <w:r>
          <w:t>[24]</w:t>
        </w:r>
      </w:hyperlink>
      <w:r>
        <w:t>, we estimate per-task energy as:</w:t>
      </w:r>
    </w:p>
    <w:p w14:paraId="667BD8D0" w14:textId="77777777" w:rsidR="00397FF1" w:rsidRDefault="00000000">
      <w:pPr>
        <w:pStyle w:val="equation"/>
        <w:rPr>
          <w:rFonts w:hint="eastAsia"/>
        </w:rPr>
      </w:pPr>
      <w:r>
        <w:rPr>
          <w:i/>
          <w:iCs/>
        </w:rPr>
        <w:t>E_task = t_task × P_tier × PUE    (1)</w:t>
      </w:r>
    </w:p>
    <w:p w14:paraId="383996CE" w14:textId="77777777" w:rsidR="00397FF1" w:rsidRDefault="00000000">
      <w:pPr>
        <w:pStyle w:val="BodyText"/>
      </w:pPr>
      <w:r>
        <w:t>where t_task is the measured wall-clock runtime, P_tier is the representative power draw (P_CPU = 150 W, P_GPU = 300 W, P_QPU = 20 kW system power for a dilution-refrigerator-based superconducting platform), and Power Usage Effectiveness (PUE) = 1.2 accounts for cooling and distribution overhead.</w:t>
      </w:r>
    </w:p>
    <w:p w14:paraId="145B1E40" w14:textId="77777777" w:rsidR="00397FF1" w:rsidRDefault="00000000">
      <w:pPr>
        <w:pStyle w:val="Heading1"/>
      </w:pPr>
      <w:r>
        <w:t>Workloads</w:t>
      </w:r>
    </w:p>
    <w:p w14:paraId="06A446AF" w14:textId="77777777" w:rsidR="00397FF1" w:rsidRDefault="00000000">
      <w:pPr>
        <w:pStyle w:val="Heading2"/>
      </w:pPr>
      <w:r>
        <w:t>A. Workload 1 -- Cybersecurity Intrusion Detection</w:t>
      </w:r>
    </w:p>
    <w:p w14:paraId="67385B59" w14:textId="77777777" w:rsidR="00397FF1" w:rsidRDefault="00000000">
      <w:pPr>
        <w:pStyle w:val="BodyText"/>
      </w:pPr>
      <w:r>
        <w:t xml:space="preserve">Workload 1 is binary network intrusion classification on the KDD Cup 99 dataset (10% subset) </w:t>
      </w:r>
      <w:hyperlink w:anchor="ref26" w:history="1">
        <w:r>
          <w:t>[26]</w:t>
        </w:r>
      </w:hyperlink>
      <w:r>
        <w:t xml:space="preserve">: 494,021 connections labeled across 22 attack types. The quantum method is QSVM with a 4-qubit ZZ feature map (a quantum circuit using Pauli-Z entangling gates to encode classical data into quantum states) </w:t>
      </w:r>
      <w:hyperlink w:anchor="ref6" w:history="1">
        <w:r>
          <w:t>[6]</w:t>
        </w:r>
      </w:hyperlink>
      <w:r>
        <w:t xml:space="preserve">, evaluated on a Qiskit Aer simulator </w:t>
      </w:r>
      <w:hyperlink w:anchor="ref25" w:history="1">
        <w:r>
          <w:t>[25]</w:t>
        </w:r>
      </w:hyperlink>
      <w:r>
        <w:t xml:space="preserve">. Classical baselines are SVM with a Radial Basis Function (RBF) kernel </w:t>
      </w:r>
      <w:hyperlink w:anchor="ref22" w:history="1">
        <w:r>
          <w:t>[22]</w:t>
        </w:r>
      </w:hyperlink>
      <w:r>
        <w:t>, Random Forest with 100 estimators, Gradient Boosting with 100 estimators, and KNN with k = 5. We expect classical to win on this workload because feature dimension after Principal Component Analysis (PCA) is small (4 components) and the data is tabular—the regime in which classical ensemble methods are known to dominate.</w:t>
      </w:r>
    </w:p>
    <w:p w14:paraId="781552E0" w14:textId="77777777" w:rsidR="00397FF1" w:rsidRDefault="00000000">
      <w:pPr>
        <w:pStyle w:val="Heading2"/>
      </w:pPr>
      <w:r>
        <w:t>B. Workload 2 -- Molecular Ground-State Estimation</w:t>
      </w:r>
    </w:p>
    <w:p w14:paraId="65194AA4" w14:textId="77777777" w:rsidR="00397FF1" w:rsidRDefault="00000000">
      <w:pPr>
        <w:pStyle w:val="BodyText"/>
      </w:pPr>
      <w:r>
        <w:t xml:space="preserve">Workload 2 is computing the electronic ground-state energy of the H2 molecule at an internuclear distance of 0.735 Angstrom. The quantum method is VQE </w:t>
      </w:r>
      <w:hyperlink w:anchor="ref28" w:history="1">
        <w:r>
          <w:t>[28]</w:t>
        </w:r>
      </w:hyperlink>
      <w:r>
        <w:t xml:space="preserve"> with a hardware-efficient ansatz (alternating layers of RY rotations and CNOT entanglers, 4 trainable parameters) driven by the Constrained Optimization BY Linear Approximation (COBYLA) classical optimizer. The classical baseline is exact diagonalization of the 4×4 Hamiltonian via NumPy linear algebra. Quantum is interesting here because classical state-vector simulation scales as O(2^n) in the qubit count: H2 itself is trivial, but FeMoco-class enzymes (~100 qubits of active space) are intractable for any classical machine that fits in a data center </w:t>
      </w:r>
      <w:hyperlink w:anchor="ref29" w:history="1">
        <w:r>
          <w:t>[29]</w:t>
        </w:r>
      </w:hyperlink>
      <w:r>
        <w:t xml:space="preserve">, </w:t>
      </w:r>
      <w:hyperlink w:anchor="ref30" w:history="1">
        <w:r>
          <w:t>[30]</w:t>
        </w:r>
      </w:hyperlink>
      <w:r>
        <w:t>.</w:t>
      </w:r>
    </w:p>
    <w:p w14:paraId="16516BBE" w14:textId="77777777" w:rsidR="00397FF1" w:rsidRDefault="00000000">
      <w:pPr>
        <w:pStyle w:val="Heading1"/>
      </w:pPr>
      <w:r>
        <w:t>Cloud Deployment Model</w:t>
      </w:r>
    </w:p>
    <w:p w14:paraId="4C9F1CA8" w14:textId="77777777" w:rsidR="00397FF1" w:rsidRDefault="00000000">
      <w:pPr>
        <w:pStyle w:val="Heading2"/>
      </w:pPr>
      <w:r>
        <w:t>A. Tier-to-Service Mapping</w:t>
      </w:r>
    </w:p>
    <w:p w14:paraId="0F1B418F" w14:textId="77777777" w:rsidR="00397FF1" w:rsidRDefault="00000000">
      <w:pPr>
        <w:pStyle w:val="BodyText"/>
      </w:pPr>
      <w:r>
        <w:t xml:space="preserve">Table III maps each HERO tier to representative cloud services and their April 2026 on-demand published pricing. We restrict ourselves to public list pricing—no spot, no commitment discounts—so the numbers are reproducible by any reader with a cloud account </w:t>
      </w:r>
      <w:hyperlink w:anchor="ref31" w:history="1">
        <w:r>
          <w:t>[31]</w:t>
        </w:r>
      </w:hyperlink>
      <w:r>
        <w:t xml:space="preserve">, </w:t>
      </w:r>
      <w:hyperlink w:anchor="ref32" w:history="1">
        <w:r>
          <w:t>[32]</w:t>
        </w:r>
      </w:hyperlink>
      <w:r>
        <w:t>.</w:t>
      </w:r>
    </w:p>
    <w:p w14:paraId="23AECD56" w14:textId="77777777" w:rsidR="00397FF1" w:rsidRDefault="00000000">
      <w:pPr>
        <w:pStyle w:val="tablehead"/>
      </w:pPr>
      <w:r>
        <w:t>TABLE III. Cloud Service Mapping (April 2026 Pricing)</w:t>
      </w:r>
    </w:p>
    <w:tbl>
      <w:tblPr>
        <w:tblW w:w="0pt" w:type="auto"/>
        <w:jc w:val="center"/>
        <w:tblBorders>
          <w:top w:val="single" w:sz="4" w:space="0" w:color="auto"/>
          <w:bottom w:val="single" w:sz="4" w:space="0" w:color="auto"/>
          <w:insideH w:val="single" w:sz="4" w:space="0" w:color="auto"/>
        </w:tblBorders>
        <w:tblLook w:firstRow="1" w:lastRow="0" w:firstColumn="1" w:lastColumn="0" w:noHBand="0" w:noVBand="1"/>
      </w:tblPr>
      <w:tblGrid>
        <w:gridCol w:w="930"/>
        <w:gridCol w:w="2500"/>
        <w:gridCol w:w="1653"/>
      </w:tblGrid>
      <w:tr w:rsidR="00397FF1" w14:paraId="73C30B1D" w14:textId="77777777">
        <w:trPr>
          <w:jc w:val="center"/>
        </w:trPr>
        <w:tc>
          <w:tcPr>
            <w:tcW w:w="0pt" w:type="auto"/>
            <w:tcBorders>
              <w:top w:val="single" w:sz="4" w:space="0" w:color="auto"/>
              <w:bottom w:val="single" w:sz="4" w:space="0" w:color="auto"/>
            </w:tcBorders>
          </w:tcPr>
          <w:p w14:paraId="0408338A" w14:textId="77777777" w:rsidR="00397FF1" w:rsidRDefault="00000000">
            <w:pPr>
              <w:pStyle w:val="tablecolhead"/>
            </w:pPr>
            <w:r>
              <w:t>HERO Tier</w:t>
            </w:r>
          </w:p>
        </w:tc>
        <w:tc>
          <w:tcPr>
            <w:tcW w:w="0pt" w:type="auto"/>
            <w:tcBorders>
              <w:top w:val="single" w:sz="4" w:space="0" w:color="auto"/>
              <w:bottom w:val="single" w:sz="4" w:space="0" w:color="auto"/>
            </w:tcBorders>
          </w:tcPr>
          <w:p w14:paraId="49ADD9B3" w14:textId="77777777" w:rsidR="00397FF1" w:rsidRDefault="00000000">
            <w:pPr>
              <w:pStyle w:val="tablecolhead"/>
            </w:pPr>
            <w:r>
              <w:t>Cloud Service</w:t>
            </w:r>
          </w:p>
        </w:tc>
        <w:tc>
          <w:tcPr>
            <w:tcW w:w="0pt" w:type="auto"/>
            <w:tcBorders>
              <w:top w:val="single" w:sz="4" w:space="0" w:color="auto"/>
              <w:bottom w:val="single" w:sz="4" w:space="0" w:color="auto"/>
            </w:tcBorders>
          </w:tcPr>
          <w:p w14:paraId="2D857415" w14:textId="77777777" w:rsidR="00397FF1" w:rsidRDefault="00000000">
            <w:pPr>
              <w:pStyle w:val="tablecolhead"/>
            </w:pPr>
            <w:r>
              <w:t>Pricing</w:t>
            </w:r>
          </w:p>
        </w:tc>
      </w:tr>
      <w:tr w:rsidR="00397FF1" w14:paraId="14FE8AA3" w14:textId="77777777">
        <w:trPr>
          <w:jc w:val="center"/>
        </w:trPr>
        <w:tc>
          <w:tcPr>
            <w:tcW w:w="0pt" w:type="auto"/>
            <w:tcBorders>
              <w:top w:val="single" w:sz="4" w:space="0" w:color="auto"/>
              <w:bottom w:val="single" w:sz="4" w:space="0" w:color="auto"/>
            </w:tcBorders>
          </w:tcPr>
          <w:p w14:paraId="1C8E4E4D" w14:textId="77777777" w:rsidR="00397FF1" w:rsidRDefault="00000000">
            <w:pPr>
              <w:pStyle w:val="tablecopy"/>
            </w:pPr>
            <w:r>
              <w:t>CPU</w:t>
            </w:r>
          </w:p>
        </w:tc>
        <w:tc>
          <w:tcPr>
            <w:tcW w:w="0pt" w:type="auto"/>
            <w:tcBorders>
              <w:top w:val="single" w:sz="4" w:space="0" w:color="auto"/>
              <w:bottom w:val="single" w:sz="4" w:space="0" w:color="auto"/>
            </w:tcBorders>
          </w:tcPr>
          <w:p w14:paraId="1A5E8FB4" w14:textId="77777777" w:rsidR="00397FF1" w:rsidRDefault="00000000">
            <w:pPr>
              <w:pStyle w:val="tablecopy"/>
            </w:pPr>
            <w:r>
              <w:t>AWS EC2 c7i.4xlarge (16 vCPU)</w:t>
            </w:r>
          </w:p>
        </w:tc>
        <w:tc>
          <w:tcPr>
            <w:tcW w:w="0pt" w:type="auto"/>
            <w:tcBorders>
              <w:top w:val="single" w:sz="4" w:space="0" w:color="auto"/>
              <w:bottom w:val="single" w:sz="4" w:space="0" w:color="auto"/>
            </w:tcBorders>
          </w:tcPr>
          <w:p w14:paraId="38BBBAEB" w14:textId="77777777" w:rsidR="00397FF1" w:rsidRDefault="00000000">
            <w:pPr>
              <w:pStyle w:val="tablecopy"/>
            </w:pPr>
            <w:r>
              <w:t>$0.7140 per hour</w:t>
            </w:r>
          </w:p>
        </w:tc>
      </w:tr>
      <w:tr w:rsidR="00397FF1" w14:paraId="4B8E56C1" w14:textId="77777777">
        <w:trPr>
          <w:jc w:val="center"/>
        </w:trPr>
        <w:tc>
          <w:tcPr>
            <w:tcW w:w="0pt" w:type="auto"/>
            <w:tcBorders>
              <w:top w:val="single" w:sz="4" w:space="0" w:color="auto"/>
              <w:bottom w:val="single" w:sz="4" w:space="0" w:color="auto"/>
            </w:tcBorders>
          </w:tcPr>
          <w:p w14:paraId="04194AB6" w14:textId="77777777" w:rsidR="00397FF1" w:rsidRDefault="00000000">
            <w:pPr>
              <w:pStyle w:val="tablecopy"/>
            </w:pPr>
            <w:r>
              <w:t>GPU</w:t>
            </w:r>
          </w:p>
        </w:tc>
        <w:tc>
          <w:tcPr>
            <w:tcW w:w="0pt" w:type="auto"/>
            <w:tcBorders>
              <w:top w:val="single" w:sz="4" w:space="0" w:color="auto"/>
              <w:bottom w:val="single" w:sz="4" w:space="0" w:color="auto"/>
            </w:tcBorders>
          </w:tcPr>
          <w:p w14:paraId="5953E422" w14:textId="77777777" w:rsidR="00397FF1" w:rsidRDefault="00000000">
            <w:pPr>
              <w:pStyle w:val="tablecopy"/>
            </w:pPr>
            <w:r>
              <w:t>AWS g5.xlarge (NVIDIA A10G)</w:t>
            </w:r>
          </w:p>
        </w:tc>
        <w:tc>
          <w:tcPr>
            <w:tcW w:w="0pt" w:type="auto"/>
            <w:tcBorders>
              <w:top w:val="single" w:sz="4" w:space="0" w:color="auto"/>
              <w:bottom w:val="single" w:sz="4" w:space="0" w:color="auto"/>
            </w:tcBorders>
          </w:tcPr>
          <w:p w14:paraId="0263D927" w14:textId="77777777" w:rsidR="00397FF1" w:rsidRDefault="00000000">
            <w:pPr>
              <w:pStyle w:val="tablecopy"/>
            </w:pPr>
            <w:r>
              <w:t>$1.006 per hour</w:t>
            </w:r>
          </w:p>
        </w:tc>
      </w:tr>
      <w:tr w:rsidR="00397FF1" w14:paraId="4B158821" w14:textId="77777777">
        <w:trPr>
          <w:jc w:val="center"/>
        </w:trPr>
        <w:tc>
          <w:tcPr>
            <w:tcW w:w="0pt" w:type="auto"/>
            <w:tcBorders>
              <w:top w:val="single" w:sz="4" w:space="0" w:color="auto"/>
              <w:bottom w:val="single" w:sz="4" w:space="0" w:color="auto"/>
            </w:tcBorders>
          </w:tcPr>
          <w:p w14:paraId="2EA2FCB0" w14:textId="77777777" w:rsidR="00397FF1" w:rsidRDefault="00000000">
            <w:pPr>
              <w:pStyle w:val="tablecopy"/>
            </w:pPr>
            <w:r>
              <w:t>GPU</w:t>
            </w:r>
          </w:p>
        </w:tc>
        <w:tc>
          <w:tcPr>
            <w:tcW w:w="0pt" w:type="auto"/>
            <w:tcBorders>
              <w:top w:val="single" w:sz="4" w:space="0" w:color="auto"/>
              <w:bottom w:val="single" w:sz="4" w:space="0" w:color="auto"/>
            </w:tcBorders>
          </w:tcPr>
          <w:p w14:paraId="3DC4BCDC" w14:textId="77777777" w:rsidR="00397FF1" w:rsidRDefault="00000000">
            <w:pPr>
              <w:pStyle w:val="tablecopy"/>
            </w:pPr>
            <w:r>
              <w:t>AWS p5.48xlarge (8x NVIDIA H100)</w:t>
            </w:r>
          </w:p>
        </w:tc>
        <w:tc>
          <w:tcPr>
            <w:tcW w:w="0pt" w:type="auto"/>
            <w:tcBorders>
              <w:top w:val="single" w:sz="4" w:space="0" w:color="auto"/>
              <w:bottom w:val="single" w:sz="4" w:space="0" w:color="auto"/>
            </w:tcBorders>
          </w:tcPr>
          <w:p w14:paraId="3F8E245B" w14:textId="77777777" w:rsidR="00397FF1" w:rsidRDefault="00000000">
            <w:pPr>
              <w:pStyle w:val="tablecopy"/>
            </w:pPr>
            <w:r>
              <w:t>$98.32 per hour</w:t>
            </w:r>
          </w:p>
        </w:tc>
      </w:tr>
      <w:tr w:rsidR="00397FF1" w14:paraId="3279B64D" w14:textId="77777777">
        <w:trPr>
          <w:jc w:val="center"/>
        </w:trPr>
        <w:tc>
          <w:tcPr>
            <w:tcW w:w="0pt" w:type="auto"/>
            <w:tcBorders>
              <w:top w:val="single" w:sz="4" w:space="0" w:color="auto"/>
              <w:bottom w:val="single" w:sz="4" w:space="0" w:color="auto"/>
            </w:tcBorders>
          </w:tcPr>
          <w:p w14:paraId="1414485C" w14:textId="77777777" w:rsidR="00397FF1" w:rsidRDefault="00000000">
            <w:pPr>
              <w:pStyle w:val="tablecopy"/>
            </w:pPr>
            <w:r>
              <w:t>QPU</w:t>
            </w:r>
          </w:p>
        </w:tc>
        <w:tc>
          <w:tcPr>
            <w:tcW w:w="0pt" w:type="auto"/>
            <w:tcBorders>
              <w:top w:val="single" w:sz="4" w:space="0" w:color="auto"/>
              <w:bottom w:val="single" w:sz="4" w:space="0" w:color="auto"/>
            </w:tcBorders>
          </w:tcPr>
          <w:p w14:paraId="6928BA40" w14:textId="77777777" w:rsidR="00397FF1" w:rsidRDefault="00000000">
            <w:pPr>
              <w:pStyle w:val="tablecopy"/>
            </w:pPr>
            <w:r>
              <w:t>IBM Quantum Eagle (127 qubits)</w:t>
            </w:r>
          </w:p>
        </w:tc>
        <w:tc>
          <w:tcPr>
            <w:tcW w:w="0pt" w:type="auto"/>
            <w:tcBorders>
              <w:top w:val="single" w:sz="4" w:space="0" w:color="auto"/>
              <w:bottom w:val="single" w:sz="4" w:space="0" w:color="auto"/>
            </w:tcBorders>
          </w:tcPr>
          <w:p w14:paraId="5A7E185E" w14:textId="77777777" w:rsidR="00397FF1" w:rsidRDefault="00000000">
            <w:pPr>
              <w:pStyle w:val="tablecopy"/>
            </w:pPr>
            <w:r>
              <w:t>$1.60 per second</w:t>
            </w:r>
          </w:p>
        </w:tc>
      </w:tr>
      <w:tr w:rsidR="00397FF1" w14:paraId="705E05BA" w14:textId="77777777">
        <w:trPr>
          <w:jc w:val="center"/>
        </w:trPr>
        <w:tc>
          <w:tcPr>
            <w:tcW w:w="0pt" w:type="auto"/>
            <w:tcBorders>
              <w:top w:val="single" w:sz="4" w:space="0" w:color="auto"/>
              <w:bottom w:val="single" w:sz="4" w:space="0" w:color="auto"/>
            </w:tcBorders>
          </w:tcPr>
          <w:p w14:paraId="02536DE3" w14:textId="77777777" w:rsidR="00397FF1" w:rsidRDefault="00000000">
            <w:pPr>
              <w:pStyle w:val="tablecopy"/>
            </w:pPr>
            <w:r>
              <w:t>QPU</w:t>
            </w:r>
          </w:p>
        </w:tc>
        <w:tc>
          <w:tcPr>
            <w:tcW w:w="0pt" w:type="auto"/>
            <w:tcBorders>
              <w:top w:val="single" w:sz="4" w:space="0" w:color="auto"/>
              <w:bottom w:val="single" w:sz="4" w:space="0" w:color="auto"/>
            </w:tcBorders>
          </w:tcPr>
          <w:p w14:paraId="55AB3CA2" w14:textId="77777777" w:rsidR="00397FF1" w:rsidRDefault="00000000">
            <w:pPr>
              <w:pStyle w:val="tablecopy"/>
            </w:pPr>
            <w:r>
              <w:t>AWS Braket Rigetti Ankaa (84 qubits)</w:t>
            </w:r>
          </w:p>
        </w:tc>
        <w:tc>
          <w:tcPr>
            <w:tcW w:w="0pt" w:type="auto"/>
            <w:tcBorders>
              <w:top w:val="single" w:sz="4" w:space="0" w:color="auto"/>
              <w:bottom w:val="single" w:sz="4" w:space="0" w:color="auto"/>
            </w:tcBorders>
          </w:tcPr>
          <w:p w14:paraId="25420246" w14:textId="77777777" w:rsidR="00397FF1" w:rsidRDefault="00000000">
            <w:pPr>
              <w:pStyle w:val="tablecopy"/>
            </w:pPr>
            <w:r>
              <w:t>$0.30/task + $0.0009/shot</w:t>
            </w:r>
          </w:p>
        </w:tc>
      </w:tr>
      <w:tr w:rsidR="00397FF1" w14:paraId="7C719C33" w14:textId="77777777">
        <w:trPr>
          <w:jc w:val="center"/>
        </w:trPr>
        <w:tc>
          <w:tcPr>
            <w:tcW w:w="0pt" w:type="auto"/>
            <w:tcBorders>
              <w:top w:val="single" w:sz="4" w:space="0" w:color="auto"/>
              <w:bottom w:val="single" w:sz="4" w:space="0" w:color="auto"/>
            </w:tcBorders>
          </w:tcPr>
          <w:p w14:paraId="620EA9A7" w14:textId="77777777" w:rsidR="00397FF1" w:rsidRDefault="00000000">
            <w:pPr>
              <w:pStyle w:val="tablecopy"/>
            </w:pPr>
            <w:r>
              <w:t>QPU</w:t>
            </w:r>
          </w:p>
        </w:tc>
        <w:tc>
          <w:tcPr>
            <w:tcW w:w="0pt" w:type="auto"/>
            <w:tcBorders>
              <w:top w:val="single" w:sz="4" w:space="0" w:color="auto"/>
              <w:bottom w:val="single" w:sz="4" w:space="0" w:color="auto"/>
            </w:tcBorders>
          </w:tcPr>
          <w:p w14:paraId="678F59E3" w14:textId="77777777" w:rsidR="00397FF1" w:rsidRDefault="00000000">
            <w:pPr>
              <w:pStyle w:val="tablecopy"/>
            </w:pPr>
            <w:r>
              <w:t>Azure Quantum Quantinuum H2 (56 qubits)</w:t>
            </w:r>
          </w:p>
        </w:tc>
        <w:tc>
          <w:tcPr>
            <w:tcW w:w="0pt" w:type="auto"/>
            <w:tcBorders>
              <w:top w:val="single" w:sz="4" w:space="0" w:color="auto"/>
              <w:bottom w:val="single" w:sz="4" w:space="0" w:color="auto"/>
            </w:tcBorders>
          </w:tcPr>
          <w:p w14:paraId="01783ABA" w14:textId="77777777" w:rsidR="00397FF1" w:rsidRDefault="00000000">
            <w:pPr>
              <w:pStyle w:val="tablecopy"/>
            </w:pPr>
            <w:r>
              <w:t>$12.50 per minute</w:t>
            </w:r>
          </w:p>
        </w:tc>
      </w:tr>
    </w:tbl>
    <w:p w14:paraId="2D825E4B" w14:textId="77777777" w:rsidR="00397FF1" w:rsidRDefault="00000000">
      <w:pPr>
        <w:pStyle w:val="Heading2"/>
      </w:pPr>
      <w:r>
        <w:t>B. Pricing Model</w:t>
      </w:r>
    </w:p>
    <w:p w14:paraId="7D683BBC" w14:textId="77777777" w:rsidR="00397FF1" w:rsidRDefault="00000000">
      <w:pPr>
        <w:pStyle w:val="BodyText"/>
      </w:pPr>
      <w:r>
        <w:t>The per-tier dollar cost of a single task is:</w:t>
      </w:r>
    </w:p>
    <w:p w14:paraId="22C888FE" w14:textId="77777777" w:rsidR="00397FF1" w:rsidRDefault="00000000">
      <w:pPr>
        <w:pStyle w:val="equation"/>
        <w:rPr>
          <w:rFonts w:hint="eastAsia"/>
        </w:rPr>
      </w:pPr>
      <w:r>
        <w:rPr>
          <w:i/>
          <w:iCs/>
        </w:rPr>
        <w:t>Cost_task = t_task × CloudPrice[tier]    (2)</w:t>
      </w:r>
    </w:p>
    <w:p w14:paraId="023C4F1F" w14:textId="77777777" w:rsidR="00397FF1" w:rsidRDefault="00000000">
      <w:pPr>
        <w:pStyle w:val="BodyText"/>
      </w:pPr>
      <w:r>
        <w:t xml:space="preserve">Per-million-task cost is computed by linear extrapolation (Table IV). All figures use 2026 published on-demand prices from </w:t>
      </w:r>
      <w:hyperlink w:anchor="ref31" w:history="1">
        <w:r>
          <w:t>[31]</w:t>
        </w:r>
      </w:hyperlink>
      <w:r>
        <w:t xml:space="preserve"> and </w:t>
      </w:r>
      <w:hyperlink w:anchor="ref32" w:history="1">
        <w:r>
          <w:t>[32]</w:t>
        </w:r>
      </w:hyperlink>
      <w:r>
        <w:t>, with no spot instances and no enterprise commitments.</w:t>
      </w:r>
    </w:p>
    <w:p w14:paraId="5EB3F961" w14:textId="77777777" w:rsidR="00397FF1" w:rsidRDefault="00000000">
      <w:pPr>
        <w:pStyle w:val="Heading2"/>
      </w:pPr>
      <w:r>
        <w:t>C. Cost vs Energy Trade-offs</w:t>
      </w:r>
    </w:p>
    <w:p w14:paraId="3972E305" w14:textId="77777777" w:rsidR="00397FF1" w:rsidRDefault="00000000">
      <w:pPr>
        <w:pStyle w:val="BodyText"/>
      </w:pPr>
      <w:r>
        <w:t>Cloud bills include both compute and electricity—the provider pays the energy bill and passes it through. Optimizing for dollars alone, energy alone, or latency alone produces different tier choices, so the joint optimization in Algorithm 1 (Step 5) is essential.</w:t>
      </w:r>
    </w:p>
    <w:p w14:paraId="077C0D10" w14:textId="77777777" w:rsidR="00397FF1" w:rsidRDefault="00000000">
      <w:pPr>
        <w:pStyle w:val="Heading1"/>
      </w:pPr>
      <w:r>
        <w:t>Experimental Setup</w:t>
      </w:r>
    </w:p>
    <w:p w14:paraId="3D0DD4E9" w14:textId="77777777" w:rsidR="00397FF1" w:rsidRDefault="00000000">
      <w:pPr>
        <w:pStyle w:val="Heading2"/>
      </w:pPr>
      <w:r>
        <w:t>A. Hardware</w:t>
      </w:r>
    </w:p>
    <w:p w14:paraId="56ADCE07" w14:textId="77777777" w:rsidR="00397FF1" w:rsidRDefault="00000000">
      <w:pPr>
        <w:pStyle w:val="BodyText"/>
      </w:pPr>
      <w:r>
        <w:t xml:space="preserve">All measurements were taken on a local development machine instrumented with HERO. Quantum circuits run on Qiskit Aer </w:t>
      </w:r>
      <w:hyperlink w:anchor="ref25" w:history="1">
        <w:r>
          <w:t>[25]</w:t>
        </w:r>
      </w:hyperlink>
      <w:r>
        <w:t xml:space="preserve"> in noiseless statevector mode; tier-average power numbers (Section III-C) are used to compute energy.</w:t>
      </w:r>
    </w:p>
    <w:p w14:paraId="64C5C526" w14:textId="77777777" w:rsidR="00397FF1" w:rsidRDefault="00000000">
      <w:pPr>
        <w:pStyle w:val="Heading2"/>
      </w:pPr>
      <w:r>
        <w:t>B. Multi-Run Protocol</w:t>
      </w:r>
    </w:p>
    <w:p w14:paraId="12291E25" w14:textId="77777777" w:rsidR="00397FF1" w:rsidRDefault="00000000">
      <w:pPr>
        <w:pStyle w:val="BodyText"/>
      </w:pPr>
      <w:r>
        <w:t>Each (workload, method) combination is executed N = 30 times with different random seeds. We report mean and standard deviation. Thirty runs is sufficient for stable confidence intervals on F1 score and for reliable distributions of VQE final energies.</w:t>
      </w:r>
    </w:p>
    <w:p w14:paraId="4E763507" w14:textId="77777777" w:rsidR="00397FF1" w:rsidRDefault="00000000">
      <w:pPr>
        <w:pStyle w:val="Heading2"/>
      </w:pPr>
      <w:r>
        <w:t>C. Software Stack</w:t>
      </w:r>
    </w:p>
    <w:p w14:paraId="27DD213D" w14:textId="77777777" w:rsidR="00397FF1" w:rsidRDefault="00000000">
      <w:pPr>
        <w:pStyle w:val="BodyText"/>
      </w:pPr>
      <w:r>
        <w:t xml:space="preserve">Python 3.13, Qiskit 1.x </w:t>
      </w:r>
      <w:hyperlink w:anchor="ref25" w:history="1">
        <w:r>
          <w:t>[25]</w:t>
        </w:r>
      </w:hyperlink>
      <w:r>
        <w:t xml:space="preserve">, scikit-learn </w:t>
      </w:r>
      <w:hyperlink w:anchor="ref22" w:history="1">
        <w:r>
          <w:t>[22]</w:t>
        </w:r>
      </w:hyperlink>
      <w:r>
        <w:t>, NumPy, and Pillow for figure assembly.</w:t>
      </w:r>
    </w:p>
    <w:p w14:paraId="6950F6E0" w14:textId="77777777" w:rsidR="00397FF1" w:rsidRDefault="00000000">
      <w:pPr>
        <w:pStyle w:val="Heading1"/>
      </w:pPr>
      <w:r>
        <w:t>Results</w:t>
      </w:r>
    </w:p>
    <w:p w14:paraId="621BE7C8" w14:textId="77777777" w:rsidR="00397FF1" w:rsidRDefault="00000000">
      <w:pPr>
        <w:pStyle w:val="Heading2"/>
      </w:pPr>
      <w:r>
        <w:t>A. Cybersecurity Workload (Workload 1)</w:t>
      </w:r>
    </w:p>
    <w:p w14:paraId="6397DFE3" w14:textId="77777777" w:rsidR="00397FF1" w:rsidRDefault="00000000">
      <w:pPr>
        <w:pStyle w:val="BodyText"/>
      </w:pPr>
      <w:r>
        <w:t>Table I reports the head-to-head comparison of all five methods on Workload 1. Random Forest dominates with F1 = 0.998 at 27.94 J per run; QSVM achieves F1 = 0.667 at 10,320.51 J per run—roughly four orders of magnitude more energy for substantially lower accuracy. Fig. 2 visualizes the bar chart and Fig. 3 the multi-run F1 distribution.</w:t>
      </w:r>
    </w:p>
    <w:p w14:paraId="5474E772" w14:textId="77777777" w:rsidR="00397FF1" w:rsidRDefault="00000000">
      <w:pPr>
        <w:pStyle w:val="tablehead"/>
      </w:pPr>
      <w:r>
        <w:t>TABLE I. Classifier Comparison on Cybersecurity Workload (KDD Cup 99)</w:t>
      </w:r>
    </w:p>
    <w:tbl>
      <w:tblPr>
        <w:tblW w:w="0pt" w:type="auto"/>
        <w:jc w:val="center"/>
        <w:tblBorders>
          <w:top w:val="single" w:sz="4" w:space="0" w:color="auto"/>
          <w:bottom w:val="single" w:sz="4" w:space="0" w:color="auto"/>
          <w:insideH w:val="single" w:sz="4" w:space="0" w:color="auto"/>
        </w:tblBorders>
        <w:tblLook w:firstRow="1" w:lastRow="0" w:firstColumn="1" w:lastColumn="0" w:noHBand="0" w:noVBand="1"/>
      </w:tblPr>
      <w:tblGrid>
        <w:gridCol w:w="741"/>
        <w:gridCol w:w="507"/>
        <w:gridCol w:w="615"/>
        <w:gridCol w:w="615"/>
        <w:gridCol w:w="615"/>
        <w:gridCol w:w="615"/>
        <w:gridCol w:w="615"/>
        <w:gridCol w:w="760"/>
      </w:tblGrid>
      <w:tr w:rsidR="00397FF1" w14:paraId="543826BF" w14:textId="77777777">
        <w:trPr>
          <w:jc w:val="center"/>
        </w:trPr>
        <w:tc>
          <w:tcPr>
            <w:tcW w:w="0pt" w:type="auto"/>
            <w:tcBorders>
              <w:top w:val="single" w:sz="4" w:space="0" w:color="auto"/>
              <w:bottom w:val="single" w:sz="4" w:space="0" w:color="auto"/>
            </w:tcBorders>
          </w:tcPr>
          <w:p w14:paraId="23DFF468" w14:textId="77777777" w:rsidR="00397FF1" w:rsidRDefault="00000000">
            <w:pPr>
              <w:pStyle w:val="tablecolhead"/>
            </w:pPr>
            <w:r>
              <w:t>Method</w:t>
            </w:r>
          </w:p>
        </w:tc>
        <w:tc>
          <w:tcPr>
            <w:tcW w:w="0pt" w:type="auto"/>
            <w:tcBorders>
              <w:top w:val="single" w:sz="4" w:space="0" w:color="auto"/>
              <w:bottom w:val="single" w:sz="4" w:space="0" w:color="auto"/>
            </w:tcBorders>
          </w:tcPr>
          <w:p w14:paraId="61AFF426" w14:textId="77777777" w:rsidR="00397FF1" w:rsidRDefault="00000000">
            <w:pPr>
              <w:pStyle w:val="tablecolhead"/>
            </w:pPr>
            <w:r>
              <w:t>Tier</w:t>
            </w:r>
          </w:p>
        </w:tc>
        <w:tc>
          <w:tcPr>
            <w:tcW w:w="0pt" w:type="auto"/>
            <w:tcBorders>
              <w:top w:val="single" w:sz="4" w:space="0" w:color="auto"/>
              <w:bottom w:val="single" w:sz="4" w:space="0" w:color="auto"/>
            </w:tcBorders>
          </w:tcPr>
          <w:p w14:paraId="363642C0" w14:textId="77777777" w:rsidR="00397FF1" w:rsidRDefault="00000000">
            <w:pPr>
              <w:pStyle w:val="tablecolhead"/>
            </w:pPr>
            <w:r>
              <w:t>Acc.</w:t>
            </w:r>
          </w:p>
        </w:tc>
        <w:tc>
          <w:tcPr>
            <w:tcW w:w="0pt" w:type="auto"/>
            <w:tcBorders>
              <w:top w:val="single" w:sz="4" w:space="0" w:color="auto"/>
              <w:bottom w:val="single" w:sz="4" w:space="0" w:color="auto"/>
            </w:tcBorders>
          </w:tcPr>
          <w:p w14:paraId="5AAB9DA2" w14:textId="77777777" w:rsidR="00397FF1" w:rsidRDefault="00000000">
            <w:pPr>
              <w:pStyle w:val="tablecolhead"/>
            </w:pPr>
            <w:r>
              <w:t>Prec.</w:t>
            </w:r>
          </w:p>
        </w:tc>
        <w:tc>
          <w:tcPr>
            <w:tcW w:w="0pt" w:type="auto"/>
            <w:tcBorders>
              <w:top w:val="single" w:sz="4" w:space="0" w:color="auto"/>
              <w:bottom w:val="single" w:sz="4" w:space="0" w:color="auto"/>
            </w:tcBorders>
          </w:tcPr>
          <w:p w14:paraId="04CB408C" w14:textId="77777777" w:rsidR="00397FF1" w:rsidRDefault="00000000">
            <w:pPr>
              <w:pStyle w:val="tablecolhead"/>
            </w:pPr>
            <w:r>
              <w:t>Rec.</w:t>
            </w:r>
          </w:p>
        </w:tc>
        <w:tc>
          <w:tcPr>
            <w:tcW w:w="0pt" w:type="auto"/>
            <w:tcBorders>
              <w:top w:val="single" w:sz="4" w:space="0" w:color="auto"/>
              <w:bottom w:val="single" w:sz="4" w:space="0" w:color="auto"/>
            </w:tcBorders>
          </w:tcPr>
          <w:p w14:paraId="0477F588" w14:textId="77777777" w:rsidR="00397FF1" w:rsidRDefault="00000000">
            <w:pPr>
              <w:pStyle w:val="tablecolhead"/>
            </w:pPr>
            <w:r>
              <w:t>F1</w:t>
            </w:r>
          </w:p>
        </w:tc>
        <w:tc>
          <w:tcPr>
            <w:tcW w:w="0pt" w:type="auto"/>
            <w:tcBorders>
              <w:top w:val="single" w:sz="4" w:space="0" w:color="auto"/>
              <w:bottom w:val="single" w:sz="4" w:space="0" w:color="auto"/>
            </w:tcBorders>
          </w:tcPr>
          <w:p w14:paraId="09131E81" w14:textId="77777777" w:rsidR="00397FF1" w:rsidRDefault="00000000">
            <w:pPr>
              <w:pStyle w:val="tablecolhead"/>
            </w:pPr>
            <w:r>
              <w:t>Run (s)</w:t>
            </w:r>
          </w:p>
        </w:tc>
        <w:tc>
          <w:tcPr>
            <w:tcW w:w="0pt" w:type="auto"/>
            <w:tcBorders>
              <w:top w:val="single" w:sz="4" w:space="0" w:color="auto"/>
              <w:bottom w:val="single" w:sz="4" w:space="0" w:color="auto"/>
            </w:tcBorders>
          </w:tcPr>
          <w:p w14:paraId="3D85E1E7" w14:textId="77777777" w:rsidR="00397FF1" w:rsidRDefault="00000000">
            <w:pPr>
              <w:pStyle w:val="tablecolhead"/>
            </w:pPr>
            <w:r>
              <w:t>E (J)</w:t>
            </w:r>
          </w:p>
        </w:tc>
      </w:tr>
      <w:tr w:rsidR="00397FF1" w14:paraId="032AEA81" w14:textId="77777777">
        <w:trPr>
          <w:jc w:val="center"/>
        </w:trPr>
        <w:tc>
          <w:tcPr>
            <w:tcW w:w="0pt" w:type="auto"/>
            <w:tcBorders>
              <w:top w:val="single" w:sz="4" w:space="0" w:color="auto"/>
              <w:bottom w:val="single" w:sz="4" w:space="0" w:color="auto"/>
            </w:tcBorders>
          </w:tcPr>
          <w:p w14:paraId="09334056" w14:textId="77777777" w:rsidR="00397FF1" w:rsidRDefault="00000000">
            <w:pPr>
              <w:pStyle w:val="tablecopy"/>
            </w:pPr>
            <w:r>
              <w:t>Classical SVM (RBF)</w:t>
            </w:r>
          </w:p>
        </w:tc>
        <w:tc>
          <w:tcPr>
            <w:tcW w:w="0pt" w:type="auto"/>
            <w:tcBorders>
              <w:top w:val="single" w:sz="4" w:space="0" w:color="auto"/>
              <w:bottom w:val="single" w:sz="4" w:space="0" w:color="auto"/>
            </w:tcBorders>
          </w:tcPr>
          <w:p w14:paraId="0E37D9A5" w14:textId="77777777" w:rsidR="00397FF1" w:rsidRDefault="00000000">
            <w:pPr>
              <w:pStyle w:val="tablecopy"/>
            </w:pPr>
            <w:r>
              <w:t>CPU</w:t>
            </w:r>
          </w:p>
        </w:tc>
        <w:tc>
          <w:tcPr>
            <w:tcW w:w="0pt" w:type="auto"/>
            <w:tcBorders>
              <w:top w:val="single" w:sz="4" w:space="0" w:color="auto"/>
              <w:bottom w:val="single" w:sz="4" w:space="0" w:color="auto"/>
            </w:tcBorders>
          </w:tcPr>
          <w:p w14:paraId="0FA53D7A" w14:textId="77777777" w:rsidR="00397FF1" w:rsidRDefault="00000000">
            <w:pPr>
              <w:pStyle w:val="tablecopy"/>
            </w:pPr>
            <w:r>
              <w:t>0.9750</w:t>
            </w:r>
          </w:p>
        </w:tc>
        <w:tc>
          <w:tcPr>
            <w:tcW w:w="0pt" w:type="auto"/>
            <w:tcBorders>
              <w:top w:val="single" w:sz="4" w:space="0" w:color="auto"/>
              <w:bottom w:val="single" w:sz="4" w:space="0" w:color="auto"/>
            </w:tcBorders>
          </w:tcPr>
          <w:p w14:paraId="51341D14" w14:textId="77777777" w:rsidR="00397FF1" w:rsidRDefault="00000000">
            <w:pPr>
              <w:pStyle w:val="tablecopy"/>
            </w:pPr>
            <w:r>
              <w:t>1.0000</w:t>
            </w:r>
          </w:p>
        </w:tc>
        <w:tc>
          <w:tcPr>
            <w:tcW w:w="0pt" w:type="auto"/>
            <w:tcBorders>
              <w:top w:val="single" w:sz="4" w:space="0" w:color="auto"/>
              <w:bottom w:val="single" w:sz="4" w:space="0" w:color="auto"/>
            </w:tcBorders>
          </w:tcPr>
          <w:p w14:paraId="574C651A" w14:textId="77777777" w:rsidR="00397FF1" w:rsidRDefault="00000000">
            <w:pPr>
              <w:pStyle w:val="tablecopy"/>
            </w:pPr>
            <w:r>
              <w:t>0.9500</w:t>
            </w:r>
          </w:p>
        </w:tc>
        <w:tc>
          <w:tcPr>
            <w:tcW w:w="0pt" w:type="auto"/>
            <w:tcBorders>
              <w:top w:val="single" w:sz="4" w:space="0" w:color="auto"/>
              <w:bottom w:val="single" w:sz="4" w:space="0" w:color="auto"/>
            </w:tcBorders>
          </w:tcPr>
          <w:p w14:paraId="28CF724F" w14:textId="77777777" w:rsidR="00397FF1" w:rsidRDefault="00000000">
            <w:pPr>
              <w:pStyle w:val="tablecopy"/>
            </w:pPr>
            <w:r>
              <w:t>0.9744</w:t>
            </w:r>
          </w:p>
        </w:tc>
        <w:tc>
          <w:tcPr>
            <w:tcW w:w="0pt" w:type="auto"/>
            <w:tcBorders>
              <w:top w:val="single" w:sz="4" w:space="0" w:color="auto"/>
              <w:bottom w:val="single" w:sz="4" w:space="0" w:color="auto"/>
            </w:tcBorders>
          </w:tcPr>
          <w:p w14:paraId="39610EB3" w14:textId="77777777" w:rsidR="00397FF1" w:rsidRDefault="00000000">
            <w:pPr>
              <w:pStyle w:val="tablecopy"/>
            </w:pPr>
            <w:r>
              <w:t>0.0078</w:t>
            </w:r>
          </w:p>
        </w:tc>
        <w:tc>
          <w:tcPr>
            <w:tcW w:w="0pt" w:type="auto"/>
            <w:tcBorders>
              <w:top w:val="single" w:sz="4" w:space="0" w:color="auto"/>
              <w:bottom w:val="single" w:sz="4" w:space="0" w:color="auto"/>
            </w:tcBorders>
          </w:tcPr>
          <w:p w14:paraId="5B7DC63D" w14:textId="77777777" w:rsidR="00397FF1" w:rsidRDefault="00000000">
            <w:pPr>
              <w:pStyle w:val="tablecopy"/>
            </w:pPr>
            <w:r>
              <w:t>0.99</w:t>
            </w:r>
          </w:p>
        </w:tc>
      </w:tr>
      <w:tr w:rsidR="00397FF1" w14:paraId="75E8E9F8" w14:textId="77777777">
        <w:trPr>
          <w:jc w:val="center"/>
        </w:trPr>
        <w:tc>
          <w:tcPr>
            <w:tcW w:w="0pt" w:type="auto"/>
            <w:tcBorders>
              <w:top w:val="single" w:sz="4" w:space="0" w:color="auto"/>
              <w:bottom w:val="single" w:sz="4" w:space="0" w:color="auto"/>
            </w:tcBorders>
          </w:tcPr>
          <w:p w14:paraId="20731043" w14:textId="77777777" w:rsidR="00397FF1" w:rsidRDefault="00000000">
            <w:pPr>
              <w:pStyle w:val="tablecopy"/>
            </w:pPr>
            <w:r>
              <w:t>Random Forest</w:t>
            </w:r>
          </w:p>
        </w:tc>
        <w:tc>
          <w:tcPr>
            <w:tcW w:w="0pt" w:type="auto"/>
            <w:tcBorders>
              <w:top w:val="single" w:sz="4" w:space="0" w:color="auto"/>
              <w:bottom w:val="single" w:sz="4" w:space="0" w:color="auto"/>
            </w:tcBorders>
          </w:tcPr>
          <w:p w14:paraId="7943930F" w14:textId="77777777" w:rsidR="00397FF1" w:rsidRDefault="00000000">
            <w:pPr>
              <w:pStyle w:val="tablecopy"/>
            </w:pPr>
            <w:r>
              <w:t>CPU</w:t>
            </w:r>
          </w:p>
        </w:tc>
        <w:tc>
          <w:tcPr>
            <w:tcW w:w="0pt" w:type="auto"/>
            <w:tcBorders>
              <w:top w:val="single" w:sz="4" w:space="0" w:color="auto"/>
              <w:bottom w:val="single" w:sz="4" w:space="0" w:color="auto"/>
            </w:tcBorders>
          </w:tcPr>
          <w:p w14:paraId="306DAA8D" w14:textId="77777777" w:rsidR="00397FF1" w:rsidRDefault="00000000">
            <w:pPr>
              <w:pStyle w:val="tablecopy"/>
            </w:pPr>
            <w:r>
              <w:t>0.9970</w:t>
            </w:r>
          </w:p>
        </w:tc>
        <w:tc>
          <w:tcPr>
            <w:tcW w:w="0pt" w:type="auto"/>
            <w:tcBorders>
              <w:top w:val="single" w:sz="4" w:space="0" w:color="auto"/>
              <w:bottom w:val="single" w:sz="4" w:space="0" w:color="auto"/>
            </w:tcBorders>
          </w:tcPr>
          <w:p w14:paraId="7A349FB0" w14:textId="77777777" w:rsidR="00397FF1" w:rsidRDefault="00000000">
            <w:pPr>
              <w:pStyle w:val="tablecopy"/>
            </w:pPr>
            <w:r>
              <w:t>0.9992</w:t>
            </w:r>
          </w:p>
        </w:tc>
        <w:tc>
          <w:tcPr>
            <w:tcW w:w="0pt" w:type="auto"/>
            <w:tcBorders>
              <w:top w:val="single" w:sz="4" w:space="0" w:color="auto"/>
              <w:bottom w:val="single" w:sz="4" w:space="0" w:color="auto"/>
            </w:tcBorders>
          </w:tcPr>
          <w:p w14:paraId="4FDF132E" w14:textId="77777777" w:rsidR="00397FF1" w:rsidRDefault="00000000">
            <w:pPr>
              <w:pStyle w:val="tablecopy"/>
            </w:pPr>
            <w:r>
              <w:t>0.9970</w:t>
            </w:r>
          </w:p>
        </w:tc>
        <w:tc>
          <w:tcPr>
            <w:tcW w:w="0pt" w:type="auto"/>
            <w:tcBorders>
              <w:top w:val="single" w:sz="4" w:space="0" w:color="auto"/>
              <w:bottom w:val="single" w:sz="4" w:space="0" w:color="auto"/>
            </w:tcBorders>
          </w:tcPr>
          <w:p w14:paraId="3BEFA972" w14:textId="77777777" w:rsidR="00397FF1" w:rsidRDefault="00000000">
            <w:pPr>
              <w:pStyle w:val="tablecopy"/>
            </w:pPr>
            <w:r>
              <w:t>0.9981</w:t>
            </w:r>
          </w:p>
        </w:tc>
        <w:tc>
          <w:tcPr>
            <w:tcW w:w="0pt" w:type="auto"/>
            <w:tcBorders>
              <w:top w:val="single" w:sz="4" w:space="0" w:color="auto"/>
              <w:bottom w:val="single" w:sz="4" w:space="0" w:color="auto"/>
            </w:tcBorders>
          </w:tcPr>
          <w:p w14:paraId="74445D2B" w14:textId="77777777" w:rsidR="00397FF1" w:rsidRDefault="00000000">
            <w:pPr>
              <w:pStyle w:val="tablecopy"/>
            </w:pPr>
            <w:r>
              <w:t>0.2218</w:t>
            </w:r>
          </w:p>
        </w:tc>
        <w:tc>
          <w:tcPr>
            <w:tcW w:w="0pt" w:type="auto"/>
            <w:tcBorders>
              <w:top w:val="single" w:sz="4" w:space="0" w:color="auto"/>
              <w:bottom w:val="single" w:sz="4" w:space="0" w:color="auto"/>
            </w:tcBorders>
          </w:tcPr>
          <w:p w14:paraId="7DB723E4" w14:textId="77777777" w:rsidR="00397FF1" w:rsidRDefault="00000000">
            <w:pPr>
              <w:pStyle w:val="tablecopy"/>
            </w:pPr>
            <w:r>
              <w:t>27.94</w:t>
            </w:r>
          </w:p>
        </w:tc>
      </w:tr>
      <w:tr w:rsidR="00397FF1" w14:paraId="47D0AFB2" w14:textId="77777777">
        <w:trPr>
          <w:jc w:val="center"/>
        </w:trPr>
        <w:tc>
          <w:tcPr>
            <w:tcW w:w="0pt" w:type="auto"/>
            <w:tcBorders>
              <w:top w:val="single" w:sz="4" w:space="0" w:color="auto"/>
              <w:bottom w:val="single" w:sz="4" w:space="0" w:color="auto"/>
            </w:tcBorders>
          </w:tcPr>
          <w:p w14:paraId="0364D0F3" w14:textId="77777777" w:rsidR="00397FF1" w:rsidRDefault="00000000">
            <w:pPr>
              <w:pStyle w:val="tablecopy"/>
            </w:pPr>
            <w:r>
              <w:t>Gradient Boosting</w:t>
            </w:r>
          </w:p>
        </w:tc>
        <w:tc>
          <w:tcPr>
            <w:tcW w:w="0pt" w:type="auto"/>
            <w:tcBorders>
              <w:top w:val="single" w:sz="4" w:space="0" w:color="auto"/>
              <w:bottom w:val="single" w:sz="4" w:space="0" w:color="auto"/>
            </w:tcBorders>
          </w:tcPr>
          <w:p w14:paraId="4DB0A583" w14:textId="77777777" w:rsidR="00397FF1" w:rsidRDefault="00000000">
            <w:pPr>
              <w:pStyle w:val="tablecopy"/>
            </w:pPr>
            <w:r>
              <w:t>CPU</w:t>
            </w:r>
          </w:p>
        </w:tc>
        <w:tc>
          <w:tcPr>
            <w:tcW w:w="0pt" w:type="auto"/>
            <w:tcBorders>
              <w:top w:val="single" w:sz="4" w:space="0" w:color="auto"/>
              <w:bottom w:val="single" w:sz="4" w:space="0" w:color="auto"/>
            </w:tcBorders>
          </w:tcPr>
          <w:p w14:paraId="0CCA6504" w14:textId="77777777" w:rsidR="00397FF1" w:rsidRDefault="00000000">
            <w:pPr>
              <w:pStyle w:val="tablecopy"/>
            </w:pPr>
            <w:r>
              <w:t>0.9958</w:t>
            </w:r>
          </w:p>
        </w:tc>
        <w:tc>
          <w:tcPr>
            <w:tcW w:w="0pt" w:type="auto"/>
            <w:tcBorders>
              <w:top w:val="single" w:sz="4" w:space="0" w:color="auto"/>
              <w:bottom w:val="single" w:sz="4" w:space="0" w:color="auto"/>
            </w:tcBorders>
          </w:tcPr>
          <w:p w14:paraId="4B91F670" w14:textId="77777777" w:rsidR="00397FF1" w:rsidRDefault="00000000">
            <w:pPr>
              <w:pStyle w:val="tablecopy"/>
            </w:pPr>
            <w:r>
              <w:t>0.9985</w:t>
            </w:r>
          </w:p>
        </w:tc>
        <w:tc>
          <w:tcPr>
            <w:tcW w:w="0pt" w:type="auto"/>
            <w:tcBorders>
              <w:top w:val="single" w:sz="4" w:space="0" w:color="auto"/>
              <w:bottom w:val="single" w:sz="4" w:space="0" w:color="auto"/>
            </w:tcBorders>
          </w:tcPr>
          <w:p w14:paraId="39A7F211" w14:textId="77777777" w:rsidR="00397FF1" w:rsidRDefault="00000000">
            <w:pPr>
              <w:pStyle w:val="tablecopy"/>
            </w:pPr>
            <w:r>
              <w:t>0.9962</w:t>
            </w:r>
          </w:p>
        </w:tc>
        <w:tc>
          <w:tcPr>
            <w:tcW w:w="0pt" w:type="auto"/>
            <w:tcBorders>
              <w:top w:val="single" w:sz="4" w:space="0" w:color="auto"/>
              <w:bottom w:val="single" w:sz="4" w:space="0" w:color="auto"/>
            </w:tcBorders>
          </w:tcPr>
          <w:p w14:paraId="7AFE45AC" w14:textId="77777777" w:rsidR="00397FF1" w:rsidRDefault="00000000">
            <w:pPr>
              <w:pStyle w:val="tablecopy"/>
            </w:pPr>
            <w:r>
              <w:t>0.9974</w:t>
            </w:r>
          </w:p>
        </w:tc>
        <w:tc>
          <w:tcPr>
            <w:tcW w:w="0pt" w:type="auto"/>
            <w:tcBorders>
              <w:top w:val="single" w:sz="4" w:space="0" w:color="auto"/>
              <w:bottom w:val="single" w:sz="4" w:space="0" w:color="auto"/>
            </w:tcBorders>
          </w:tcPr>
          <w:p w14:paraId="07C3CCFA" w14:textId="77777777" w:rsidR="00397FF1" w:rsidRDefault="00000000">
            <w:pPr>
              <w:pStyle w:val="tablecopy"/>
            </w:pPr>
            <w:r>
              <w:t>0.4871</w:t>
            </w:r>
          </w:p>
        </w:tc>
        <w:tc>
          <w:tcPr>
            <w:tcW w:w="0pt" w:type="auto"/>
            <w:tcBorders>
              <w:top w:val="single" w:sz="4" w:space="0" w:color="auto"/>
              <w:bottom w:val="single" w:sz="4" w:space="0" w:color="auto"/>
            </w:tcBorders>
          </w:tcPr>
          <w:p w14:paraId="7D9B3F19" w14:textId="77777777" w:rsidR="00397FF1" w:rsidRDefault="00000000">
            <w:pPr>
              <w:pStyle w:val="tablecopy"/>
            </w:pPr>
            <w:r>
              <w:t>61.38</w:t>
            </w:r>
          </w:p>
        </w:tc>
      </w:tr>
      <w:tr w:rsidR="00397FF1" w14:paraId="53A5AF03" w14:textId="77777777">
        <w:trPr>
          <w:jc w:val="center"/>
        </w:trPr>
        <w:tc>
          <w:tcPr>
            <w:tcW w:w="0pt" w:type="auto"/>
            <w:tcBorders>
              <w:top w:val="single" w:sz="4" w:space="0" w:color="auto"/>
              <w:bottom w:val="single" w:sz="4" w:space="0" w:color="auto"/>
            </w:tcBorders>
          </w:tcPr>
          <w:p w14:paraId="2BF12532" w14:textId="77777777" w:rsidR="00397FF1" w:rsidRDefault="00000000">
            <w:pPr>
              <w:pStyle w:val="tablecopy"/>
            </w:pPr>
            <w:r>
              <w:t>KNN (k=5)</w:t>
            </w:r>
          </w:p>
        </w:tc>
        <w:tc>
          <w:tcPr>
            <w:tcW w:w="0pt" w:type="auto"/>
            <w:tcBorders>
              <w:top w:val="single" w:sz="4" w:space="0" w:color="auto"/>
              <w:bottom w:val="single" w:sz="4" w:space="0" w:color="auto"/>
            </w:tcBorders>
          </w:tcPr>
          <w:p w14:paraId="5D2CA75C" w14:textId="77777777" w:rsidR="00397FF1" w:rsidRDefault="00000000">
            <w:pPr>
              <w:pStyle w:val="tablecopy"/>
            </w:pPr>
            <w:r>
              <w:t>CPU</w:t>
            </w:r>
          </w:p>
        </w:tc>
        <w:tc>
          <w:tcPr>
            <w:tcW w:w="0pt" w:type="auto"/>
            <w:tcBorders>
              <w:top w:val="single" w:sz="4" w:space="0" w:color="auto"/>
              <w:bottom w:val="single" w:sz="4" w:space="0" w:color="auto"/>
            </w:tcBorders>
          </w:tcPr>
          <w:p w14:paraId="151D571B" w14:textId="77777777" w:rsidR="00397FF1" w:rsidRDefault="00000000">
            <w:pPr>
              <w:pStyle w:val="tablecopy"/>
            </w:pPr>
            <w:r>
              <w:t>0.9939</w:t>
            </w:r>
          </w:p>
        </w:tc>
        <w:tc>
          <w:tcPr>
            <w:tcW w:w="0pt" w:type="auto"/>
            <w:tcBorders>
              <w:top w:val="single" w:sz="4" w:space="0" w:color="auto"/>
              <w:bottom w:val="single" w:sz="4" w:space="0" w:color="auto"/>
            </w:tcBorders>
          </w:tcPr>
          <w:p w14:paraId="21A362C1" w14:textId="77777777" w:rsidR="00397FF1" w:rsidRDefault="00000000">
            <w:pPr>
              <w:pStyle w:val="tablecopy"/>
            </w:pPr>
            <w:r>
              <w:t>0.9992</w:t>
            </w:r>
          </w:p>
        </w:tc>
        <w:tc>
          <w:tcPr>
            <w:tcW w:w="0pt" w:type="auto"/>
            <w:tcBorders>
              <w:top w:val="single" w:sz="4" w:space="0" w:color="auto"/>
              <w:bottom w:val="single" w:sz="4" w:space="0" w:color="auto"/>
            </w:tcBorders>
          </w:tcPr>
          <w:p w14:paraId="14104595" w14:textId="77777777" w:rsidR="00397FF1" w:rsidRDefault="00000000">
            <w:pPr>
              <w:pStyle w:val="tablecopy"/>
            </w:pPr>
            <w:r>
              <w:t>0.9932</w:t>
            </w:r>
          </w:p>
        </w:tc>
        <w:tc>
          <w:tcPr>
            <w:tcW w:w="0pt" w:type="auto"/>
            <w:tcBorders>
              <w:top w:val="single" w:sz="4" w:space="0" w:color="auto"/>
              <w:bottom w:val="single" w:sz="4" w:space="0" w:color="auto"/>
            </w:tcBorders>
          </w:tcPr>
          <w:p w14:paraId="4F4A12D6" w14:textId="77777777" w:rsidR="00397FF1" w:rsidRDefault="00000000">
            <w:pPr>
              <w:pStyle w:val="tablecopy"/>
            </w:pPr>
            <w:r>
              <w:t>0.9962</w:t>
            </w:r>
          </w:p>
        </w:tc>
        <w:tc>
          <w:tcPr>
            <w:tcW w:w="0pt" w:type="auto"/>
            <w:tcBorders>
              <w:top w:val="single" w:sz="4" w:space="0" w:color="auto"/>
              <w:bottom w:val="single" w:sz="4" w:space="0" w:color="auto"/>
            </w:tcBorders>
          </w:tcPr>
          <w:p w14:paraId="67C16DF0" w14:textId="77777777" w:rsidR="00397FF1" w:rsidRDefault="00000000">
            <w:pPr>
              <w:pStyle w:val="tablecopy"/>
            </w:pPr>
            <w:r>
              <w:t>1.7601</w:t>
            </w:r>
          </w:p>
        </w:tc>
        <w:tc>
          <w:tcPr>
            <w:tcW w:w="0pt" w:type="auto"/>
            <w:tcBorders>
              <w:top w:val="single" w:sz="4" w:space="0" w:color="auto"/>
              <w:bottom w:val="single" w:sz="4" w:space="0" w:color="auto"/>
            </w:tcBorders>
          </w:tcPr>
          <w:p w14:paraId="02A373FF" w14:textId="77777777" w:rsidR="00397FF1" w:rsidRDefault="00000000">
            <w:pPr>
              <w:pStyle w:val="tablecopy"/>
            </w:pPr>
            <w:r>
              <w:t>221.77</w:t>
            </w:r>
          </w:p>
        </w:tc>
      </w:tr>
      <w:tr w:rsidR="00397FF1" w14:paraId="2E5663D4" w14:textId="77777777">
        <w:trPr>
          <w:jc w:val="center"/>
        </w:trPr>
        <w:tc>
          <w:tcPr>
            <w:tcW w:w="0pt" w:type="auto"/>
            <w:tcBorders>
              <w:top w:val="single" w:sz="4" w:space="0" w:color="auto"/>
              <w:bottom w:val="single" w:sz="4" w:space="0" w:color="auto"/>
            </w:tcBorders>
          </w:tcPr>
          <w:p w14:paraId="1637FAD5" w14:textId="77777777" w:rsidR="00397FF1" w:rsidRDefault="00000000">
            <w:pPr>
              <w:pStyle w:val="tablecopy"/>
            </w:pPr>
            <w:r>
              <w:t>QSVM (ZZ)</w:t>
            </w:r>
          </w:p>
        </w:tc>
        <w:tc>
          <w:tcPr>
            <w:tcW w:w="0pt" w:type="auto"/>
            <w:tcBorders>
              <w:top w:val="single" w:sz="4" w:space="0" w:color="auto"/>
              <w:bottom w:val="single" w:sz="4" w:space="0" w:color="auto"/>
            </w:tcBorders>
          </w:tcPr>
          <w:p w14:paraId="7C9E87B4" w14:textId="77777777" w:rsidR="00397FF1" w:rsidRDefault="00000000">
            <w:pPr>
              <w:pStyle w:val="tablecopy"/>
            </w:pPr>
            <w:r>
              <w:t>QPU</w:t>
            </w:r>
          </w:p>
        </w:tc>
        <w:tc>
          <w:tcPr>
            <w:tcW w:w="0pt" w:type="auto"/>
            <w:tcBorders>
              <w:top w:val="single" w:sz="4" w:space="0" w:color="auto"/>
              <w:bottom w:val="single" w:sz="4" w:space="0" w:color="auto"/>
            </w:tcBorders>
          </w:tcPr>
          <w:p w14:paraId="68C90BC9" w14:textId="77777777" w:rsidR="00397FF1" w:rsidRDefault="00000000">
            <w:pPr>
              <w:pStyle w:val="tablecopy"/>
            </w:pPr>
            <w:r>
              <w:t>0.8750</w:t>
            </w:r>
          </w:p>
        </w:tc>
        <w:tc>
          <w:tcPr>
            <w:tcW w:w="0pt" w:type="auto"/>
            <w:tcBorders>
              <w:top w:val="single" w:sz="4" w:space="0" w:color="auto"/>
              <w:bottom w:val="single" w:sz="4" w:space="0" w:color="auto"/>
            </w:tcBorders>
          </w:tcPr>
          <w:p w14:paraId="03D6008E" w14:textId="77777777" w:rsidR="00397FF1" w:rsidRDefault="00000000">
            <w:pPr>
              <w:pStyle w:val="tablecopy"/>
            </w:pPr>
            <w:r>
              <w:t>1.0000</w:t>
            </w:r>
          </w:p>
        </w:tc>
        <w:tc>
          <w:tcPr>
            <w:tcW w:w="0pt" w:type="auto"/>
            <w:tcBorders>
              <w:top w:val="single" w:sz="4" w:space="0" w:color="auto"/>
              <w:bottom w:val="single" w:sz="4" w:space="0" w:color="auto"/>
            </w:tcBorders>
          </w:tcPr>
          <w:p w14:paraId="43DFF598" w14:textId="77777777" w:rsidR="00397FF1" w:rsidRDefault="00000000">
            <w:pPr>
              <w:pStyle w:val="tablecopy"/>
            </w:pPr>
            <w:r>
              <w:t>0.5000</w:t>
            </w:r>
          </w:p>
        </w:tc>
        <w:tc>
          <w:tcPr>
            <w:tcW w:w="0pt" w:type="auto"/>
            <w:tcBorders>
              <w:top w:val="single" w:sz="4" w:space="0" w:color="auto"/>
              <w:bottom w:val="single" w:sz="4" w:space="0" w:color="auto"/>
            </w:tcBorders>
          </w:tcPr>
          <w:p w14:paraId="01DD8FEE" w14:textId="77777777" w:rsidR="00397FF1" w:rsidRDefault="00000000">
            <w:pPr>
              <w:pStyle w:val="tablecopy"/>
            </w:pPr>
            <w:r>
              <w:t>0.6667</w:t>
            </w:r>
          </w:p>
        </w:tc>
        <w:tc>
          <w:tcPr>
            <w:tcW w:w="0pt" w:type="auto"/>
            <w:tcBorders>
              <w:top w:val="single" w:sz="4" w:space="0" w:color="auto"/>
              <w:bottom w:val="single" w:sz="4" w:space="0" w:color="auto"/>
            </w:tcBorders>
          </w:tcPr>
          <w:p w14:paraId="2BE74A6B" w14:textId="77777777" w:rsidR="00397FF1" w:rsidRDefault="00000000">
            <w:pPr>
              <w:pStyle w:val="tablecopy"/>
            </w:pPr>
            <w:r>
              <w:t>1.4334</w:t>
            </w:r>
          </w:p>
        </w:tc>
        <w:tc>
          <w:tcPr>
            <w:tcW w:w="0pt" w:type="auto"/>
            <w:tcBorders>
              <w:top w:val="single" w:sz="4" w:space="0" w:color="auto"/>
              <w:bottom w:val="single" w:sz="4" w:space="0" w:color="auto"/>
            </w:tcBorders>
          </w:tcPr>
          <w:p w14:paraId="631EC41C" w14:textId="77777777" w:rsidR="00397FF1" w:rsidRDefault="00000000">
            <w:pPr>
              <w:pStyle w:val="tablecopy"/>
            </w:pPr>
            <w:r>
              <w:t>10320.51</w:t>
            </w:r>
          </w:p>
        </w:tc>
      </w:tr>
    </w:tbl>
    <w:p w14:paraId="434086F2" w14:textId="77777777" w:rsidR="00397FF1" w:rsidRDefault="00000000">
      <w:r>
        <w:rPr>
          <w:noProof/>
        </w:rPr>
        <w:drawing>
          <wp:inline distT="0" distB="0" distL="0" distR="0" wp14:anchorId="5D3B6FFB" wp14:editId="4C43DBDB">
            <wp:extent cx="2971800" cy="1584057"/>
            <wp:effectExtent l="0" t="0" r="0" b="0"/>
            <wp:docPr id="2" name="Picture 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2" name="classifier_comparison.png"/>
                    <pic:cNvPicPr/>
                  </pic:nvPicPr>
                  <pic:blipFill>
                    <a:blip r:embed="rId9"/>
                    <a:stretch>
                      <a:fillRect/>
                    </a:stretch>
                  </pic:blipFill>
                  <pic:spPr>
                    <a:xfrm>
                      <a:off x="0" y="0"/>
                      <a:ext cx="2971800" cy="1584057"/>
                    </a:xfrm>
                    <a:prstGeom prst="rect">
                      <a:avLst/>
                    </a:prstGeom>
                  </pic:spPr>
                </pic:pic>
              </a:graphicData>
            </a:graphic>
          </wp:inline>
        </w:drawing>
      </w:r>
    </w:p>
    <w:p w14:paraId="1D85BDF8" w14:textId="77777777" w:rsidR="00397FF1" w:rsidRDefault="00000000">
      <w:pPr>
        <w:pStyle w:val="tablehead"/>
      </w:pPr>
      <w:r>
        <w:t>Fig. 2.  Classifier comparison on KDD Cup 99 cybersecurity workload (single run).</w:t>
      </w:r>
    </w:p>
    <w:p w14:paraId="2ED59495" w14:textId="77777777" w:rsidR="00397FF1" w:rsidRDefault="00000000">
      <w:r>
        <w:rPr>
          <w:noProof/>
        </w:rPr>
        <w:drawing>
          <wp:inline distT="0" distB="0" distL="0" distR="0" wp14:anchorId="62563B12" wp14:editId="21250B91">
            <wp:extent cx="2971800" cy="1803894"/>
            <wp:effectExtent l="0" t="0" r="0" b="0"/>
            <wp:docPr id="3" name="Picture 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3" name="multirun_f1_boxplot.png"/>
                    <pic:cNvPicPr/>
                  </pic:nvPicPr>
                  <pic:blipFill>
                    <a:blip r:embed="rId10"/>
                    <a:stretch>
                      <a:fillRect/>
                    </a:stretch>
                  </pic:blipFill>
                  <pic:spPr>
                    <a:xfrm>
                      <a:off x="0" y="0"/>
                      <a:ext cx="2971800" cy="1803894"/>
                    </a:xfrm>
                    <a:prstGeom prst="rect">
                      <a:avLst/>
                    </a:prstGeom>
                  </pic:spPr>
                </pic:pic>
              </a:graphicData>
            </a:graphic>
          </wp:inline>
        </w:drawing>
      </w:r>
    </w:p>
    <w:p w14:paraId="52B1E887" w14:textId="77777777" w:rsidR="00397FF1" w:rsidRDefault="00000000">
      <w:pPr>
        <w:pStyle w:val="tablehead"/>
      </w:pPr>
      <w:r>
        <w:t>Fig. 3.  Multi-run F1 distribution across 30 runs for each cybersecurity classifier.</w:t>
      </w:r>
    </w:p>
    <w:p w14:paraId="0E325910" w14:textId="77777777" w:rsidR="00397FF1" w:rsidRDefault="00000000">
      <w:pPr>
        <w:pStyle w:val="Heading2"/>
      </w:pPr>
      <w:r>
        <w:t>B. Molecular Simulation Workload (Workload 2)</w:t>
      </w:r>
    </w:p>
    <w:p w14:paraId="3C8F825F" w14:textId="77777777" w:rsidR="00397FF1" w:rsidRDefault="00000000">
      <w:pPr>
        <w:pStyle w:val="BodyText"/>
      </w:pPr>
      <w:r>
        <w:t xml:space="preserve">Table II reports the H2 ground-state results. VQE reaches chemical accuracy (0.007 ± 0.012 Hartree error against the exact-diagonalization reference) but at 854,000× the classical energy at this trivial scale. The classical method wins by a wide margin today; the structural argument for quantum is the O(2^n) RAM wall that exact diagonalization hits at roughly 30–50 qubits of active space </w:t>
      </w:r>
      <w:hyperlink w:anchor="ref29" w:history="1">
        <w:r>
          <w:t>[29]</w:t>
        </w:r>
      </w:hyperlink>
      <w:r>
        <w:t>.</w:t>
      </w:r>
    </w:p>
    <w:p w14:paraId="68893BE5" w14:textId="77777777" w:rsidR="00397FF1" w:rsidRDefault="00000000">
      <w:pPr>
        <w:pStyle w:val="tablehead"/>
      </w:pPr>
      <w:r>
        <w:t>TABLE II. VQE H2 Molecular Simulation Results (30 Runs)</w:t>
      </w:r>
    </w:p>
    <w:tbl>
      <w:tblPr>
        <w:tblW w:w="0pt" w:type="auto"/>
        <w:jc w:val="center"/>
        <w:tblBorders>
          <w:top w:val="single" w:sz="4" w:space="0" w:color="auto"/>
          <w:bottom w:val="single" w:sz="4" w:space="0" w:color="auto"/>
          <w:insideH w:val="single" w:sz="4" w:space="0" w:color="auto"/>
        </w:tblBorders>
        <w:tblLook w:firstRow="1" w:lastRow="0" w:firstColumn="1" w:lastColumn="0" w:noHBand="0" w:noVBand="1"/>
      </w:tblPr>
      <w:tblGrid>
        <w:gridCol w:w="1224"/>
        <w:gridCol w:w="537"/>
        <w:gridCol w:w="839"/>
        <w:gridCol w:w="848"/>
        <w:gridCol w:w="812"/>
        <w:gridCol w:w="823"/>
      </w:tblGrid>
      <w:tr w:rsidR="00397FF1" w14:paraId="584822C8" w14:textId="77777777">
        <w:trPr>
          <w:jc w:val="center"/>
        </w:trPr>
        <w:tc>
          <w:tcPr>
            <w:tcW w:w="0pt" w:type="auto"/>
            <w:tcBorders>
              <w:top w:val="single" w:sz="4" w:space="0" w:color="auto"/>
              <w:bottom w:val="single" w:sz="4" w:space="0" w:color="auto"/>
            </w:tcBorders>
          </w:tcPr>
          <w:p w14:paraId="73CBA1AC" w14:textId="77777777" w:rsidR="00397FF1" w:rsidRDefault="00000000">
            <w:pPr>
              <w:pStyle w:val="tablecolhead"/>
            </w:pPr>
            <w:r>
              <w:t>Method</w:t>
            </w:r>
          </w:p>
        </w:tc>
        <w:tc>
          <w:tcPr>
            <w:tcW w:w="0pt" w:type="auto"/>
            <w:tcBorders>
              <w:top w:val="single" w:sz="4" w:space="0" w:color="auto"/>
              <w:bottom w:val="single" w:sz="4" w:space="0" w:color="auto"/>
            </w:tcBorders>
          </w:tcPr>
          <w:p w14:paraId="66062963" w14:textId="77777777" w:rsidR="00397FF1" w:rsidRDefault="00000000">
            <w:pPr>
              <w:pStyle w:val="tablecolhead"/>
            </w:pPr>
            <w:r>
              <w:t>Tier</w:t>
            </w:r>
          </w:p>
        </w:tc>
        <w:tc>
          <w:tcPr>
            <w:tcW w:w="0pt" w:type="auto"/>
            <w:tcBorders>
              <w:top w:val="single" w:sz="4" w:space="0" w:color="auto"/>
              <w:bottom w:val="single" w:sz="4" w:space="0" w:color="auto"/>
            </w:tcBorders>
          </w:tcPr>
          <w:p w14:paraId="156E9601" w14:textId="77777777" w:rsidR="00397FF1" w:rsidRDefault="00000000">
            <w:pPr>
              <w:pStyle w:val="tablecolhead"/>
            </w:pPr>
            <w:r>
              <w:t>E (Ha)</w:t>
            </w:r>
          </w:p>
        </w:tc>
        <w:tc>
          <w:tcPr>
            <w:tcW w:w="0pt" w:type="auto"/>
            <w:tcBorders>
              <w:top w:val="single" w:sz="4" w:space="0" w:color="auto"/>
              <w:bottom w:val="single" w:sz="4" w:space="0" w:color="auto"/>
            </w:tcBorders>
          </w:tcPr>
          <w:p w14:paraId="4E7D7270" w14:textId="77777777" w:rsidR="00397FF1" w:rsidRDefault="00000000">
            <w:pPr>
              <w:pStyle w:val="tablecolhead"/>
            </w:pPr>
            <w:r>
              <w:t>Err vs Exact (Ha)</w:t>
            </w:r>
          </w:p>
        </w:tc>
        <w:tc>
          <w:tcPr>
            <w:tcW w:w="0pt" w:type="auto"/>
            <w:tcBorders>
              <w:top w:val="single" w:sz="4" w:space="0" w:color="auto"/>
              <w:bottom w:val="single" w:sz="4" w:space="0" w:color="auto"/>
            </w:tcBorders>
          </w:tcPr>
          <w:p w14:paraId="3D9C16DE" w14:textId="77777777" w:rsidR="00397FF1" w:rsidRDefault="00000000">
            <w:pPr>
              <w:pStyle w:val="tablecolhead"/>
            </w:pPr>
            <w:r>
              <w:t>Runtime</w:t>
            </w:r>
          </w:p>
        </w:tc>
        <w:tc>
          <w:tcPr>
            <w:tcW w:w="0pt" w:type="auto"/>
            <w:tcBorders>
              <w:top w:val="single" w:sz="4" w:space="0" w:color="auto"/>
              <w:bottom w:val="single" w:sz="4" w:space="0" w:color="auto"/>
            </w:tcBorders>
          </w:tcPr>
          <w:p w14:paraId="282616DF" w14:textId="77777777" w:rsidR="00397FF1" w:rsidRDefault="00000000">
            <w:pPr>
              <w:pStyle w:val="tablecolhead"/>
            </w:pPr>
            <w:r>
              <w:t>Energy (J)</w:t>
            </w:r>
          </w:p>
        </w:tc>
      </w:tr>
      <w:tr w:rsidR="00397FF1" w14:paraId="3D49D433" w14:textId="77777777">
        <w:trPr>
          <w:jc w:val="center"/>
        </w:trPr>
        <w:tc>
          <w:tcPr>
            <w:tcW w:w="0pt" w:type="auto"/>
            <w:tcBorders>
              <w:top w:val="single" w:sz="4" w:space="0" w:color="auto"/>
              <w:bottom w:val="single" w:sz="4" w:space="0" w:color="auto"/>
            </w:tcBorders>
          </w:tcPr>
          <w:p w14:paraId="626B2E38" w14:textId="77777777" w:rsidR="00397FF1" w:rsidRDefault="00000000">
            <w:pPr>
              <w:pStyle w:val="tablecopy"/>
            </w:pPr>
            <w:r>
              <w:t>Exact diagonalization</w:t>
            </w:r>
          </w:p>
        </w:tc>
        <w:tc>
          <w:tcPr>
            <w:tcW w:w="0pt" w:type="auto"/>
            <w:tcBorders>
              <w:top w:val="single" w:sz="4" w:space="0" w:color="auto"/>
              <w:bottom w:val="single" w:sz="4" w:space="0" w:color="auto"/>
            </w:tcBorders>
          </w:tcPr>
          <w:p w14:paraId="44D8F2D6" w14:textId="77777777" w:rsidR="00397FF1" w:rsidRDefault="00000000">
            <w:pPr>
              <w:pStyle w:val="tablecopy"/>
            </w:pPr>
            <w:r>
              <w:t>CPU</w:t>
            </w:r>
          </w:p>
        </w:tc>
        <w:tc>
          <w:tcPr>
            <w:tcW w:w="0pt" w:type="auto"/>
            <w:tcBorders>
              <w:top w:val="single" w:sz="4" w:space="0" w:color="auto"/>
              <w:bottom w:val="single" w:sz="4" w:space="0" w:color="auto"/>
            </w:tcBorders>
          </w:tcPr>
          <w:p w14:paraId="51E8C313" w14:textId="77777777" w:rsidR="00397FF1" w:rsidRDefault="00000000">
            <w:pPr>
              <w:pStyle w:val="tablecopy"/>
            </w:pPr>
            <w:r>
              <w:t>-1.857275</w:t>
            </w:r>
          </w:p>
        </w:tc>
        <w:tc>
          <w:tcPr>
            <w:tcW w:w="0pt" w:type="auto"/>
            <w:tcBorders>
              <w:top w:val="single" w:sz="4" w:space="0" w:color="auto"/>
              <w:bottom w:val="single" w:sz="4" w:space="0" w:color="auto"/>
            </w:tcBorders>
          </w:tcPr>
          <w:p w14:paraId="699086BE" w14:textId="77777777" w:rsidR="00397FF1" w:rsidRDefault="00000000">
            <w:pPr>
              <w:pStyle w:val="tablecopy"/>
            </w:pPr>
            <w:r>
              <w:t>0.000000</w:t>
            </w:r>
          </w:p>
        </w:tc>
        <w:tc>
          <w:tcPr>
            <w:tcW w:w="0pt" w:type="auto"/>
            <w:tcBorders>
              <w:top w:val="single" w:sz="4" w:space="0" w:color="auto"/>
              <w:bottom w:val="single" w:sz="4" w:space="0" w:color="auto"/>
            </w:tcBorders>
          </w:tcPr>
          <w:p w14:paraId="688E14DE" w14:textId="77777777" w:rsidR="00397FF1" w:rsidRDefault="00000000">
            <w:pPr>
              <w:pStyle w:val="tablecopy"/>
            </w:pPr>
            <w:r>
              <w:t>0.28 ms</w:t>
            </w:r>
          </w:p>
        </w:tc>
        <w:tc>
          <w:tcPr>
            <w:tcW w:w="0pt" w:type="auto"/>
            <w:tcBorders>
              <w:top w:val="single" w:sz="4" w:space="0" w:color="auto"/>
              <w:bottom w:val="single" w:sz="4" w:space="0" w:color="auto"/>
            </w:tcBorders>
          </w:tcPr>
          <w:p w14:paraId="2DC36D6E" w14:textId="77777777" w:rsidR="00397FF1" w:rsidRDefault="00000000">
            <w:pPr>
              <w:pStyle w:val="tablecopy"/>
            </w:pPr>
            <w:r>
              <w:t>0.035</w:t>
            </w:r>
          </w:p>
        </w:tc>
      </w:tr>
      <w:tr w:rsidR="00397FF1" w14:paraId="56753B85" w14:textId="77777777">
        <w:trPr>
          <w:jc w:val="center"/>
        </w:trPr>
        <w:tc>
          <w:tcPr>
            <w:tcW w:w="0pt" w:type="auto"/>
            <w:tcBorders>
              <w:top w:val="single" w:sz="4" w:space="0" w:color="auto"/>
              <w:bottom w:val="single" w:sz="4" w:space="0" w:color="auto"/>
            </w:tcBorders>
          </w:tcPr>
          <w:p w14:paraId="545E8E0E" w14:textId="77777777" w:rsidR="00397FF1" w:rsidRDefault="00000000">
            <w:pPr>
              <w:pStyle w:val="tablecopy"/>
            </w:pPr>
            <w:r>
              <w:t>VQE (mean +/- std)</w:t>
            </w:r>
          </w:p>
        </w:tc>
        <w:tc>
          <w:tcPr>
            <w:tcW w:w="0pt" w:type="auto"/>
            <w:tcBorders>
              <w:top w:val="single" w:sz="4" w:space="0" w:color="auto"/>
              <w:bottom w:val="single" w:sz="4" w:space="0" w:color="auto"/>
            </w:tcBorders>
          </w:tcPr>
          <w:p w14:paraId="4A7C8DA5" w14:textId="77777777" w:rsidR="00397FF1" w:rsidRDefault="00000000">
            <w:pPr>
              <w:pStyle w:val="tablecopy"/>
            </w:pPr>
            <w:r>
              <w:t>QPU</w:t>
            </w:r>
          </w:p>
        </w:tc>
        <w:tc>
          <w:tcPr>
            <w:tcW w:w="0pt" w:type="auto"/>
            <w:tcBorders>
              <w:top w:val="single" w:sz="4" w:space="0" w:color="auto"/>
              <w:bottom w:val="single" w:sz="4" w:space="0" w:color="auto"/>
            </w:tcBorders>
          </w:tcPr>
          <w:p w14:paraId="2752D5A0" w14:textId="77777777" w:rsidR="00397FF1" w:rsidRDefault="00000000">
            <w:pPr>
              <w:pStyle w:val="tablecopy"/>
            </w:pPr>
            <w:r>
              <w:t>-1.854 +/- 0.013</w:t>
            </w:r>
          </w:p>
        </w:tc>
        <w:tc>
          <w:tcPr>
            <w:tcW w:w="0pt" w:type="auto"/>
            <w:tcBorders>
              <w:top w:val="single" w:sz="4" w:space="0" w:color="auto"/>
              <w:bottom w:val="single" w:sz="4" w:space="0" w:color="auto"/>
            </w:tcBorders>
          </w:tcPr>
          <w:p w14:paraId="2FDA1712" w14:textId="77777777" w:rsidR="00397FF1" w:rsidRDefault="00000000">
            <w:pPr>
              <w:pStyle w:val="tablecopy"/>
            </w:pPr>
            <w:r>
              <w:t>0.007 +/- 0.012</w:t>
            </w:r>
          </w:p>
        </w:tc>
        <w:tc>
          <w:tcPr>
            <w:tcW w:w="0pt" w:type="auto"/>
            <w:tcBorders>
              <w:top w:val="single" w:sz="4" w:space="0" w:color="auto"/>
              <w:bottom w:val="single" w:sz="4" w:space="0" w:color="auto"/>
            </w:tcBorders>
          </w:tcPr>
          <w:p w14:paraId="5CB3CD00" w14:textId="77777777" w:rsidR="00397FF1" w:rsidRDefault="00000000">
            <w:pPr>
              <w:pStyle w:val="tablecopy"/>
            </w:pPr>
            <w:r>
              <w:t>4.14 s</w:t>
            </w:r>
          </w:p>
        </w:tc>
        <w:tc>
          <w:tcPr>
            <w:tcW w:w="0pt" w:type="auto"/>
            <w:tcBorders>
              <w:top w:val="single" w:sz="4" w:space="0" w:color="auto"/>
              <w:bottom w:val="single" w:sz="4" w:space="0" w:color="auto"/>
            </w:tcBorders>
          </w:tcPr>
          <w:p w14:paraId="78CC736E" w14:textId="77777777" w:rsidR="00397FF1" w:rsidRDefault="00000000">
            <w:pPr>
              <w:pStyle w:val="tablecopy"/>
            </w:pPr>
            <w:r>
              <w:t>29832.68</w:t>
            </w:r>
          </w:p>
        </w:tc>
      </w:tr>
    </w:tbl>
    <w:p w14:paraId="6A794132" w14:textId="77777777" w:rsidR="00397FF1" w:rsidRDefault="00000000">
      <w:r>
        <w:rPr>
          <w:noProof/>
        </w:rPr>
        <w:drawing>
          <wp:inline distT="0" distB="0" distL="0" distR="0" wp14:anchorId="25396DFA" wp14:editId="273CE16B">
            <wp:extent cx="2971800" cy="1450614"/>
            <wp:effectExtent l="0" t="0" r="0" b="0"/>
            <wp:docPr id="4" name="Picture 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4" name="vqe_convergence.png"/>
                    <pic:cNvPicPr/>
                  </pic:nvPicPr>
                  <pic:blipFill>
                    <a:blip r:embed="rId11"/>
                    <a:stretch>
                      <a:fillRect/>
                    </a:stretch>
                  </pic:blipFill>
                  <pic:spPr>
                    <a:xfrm>
                      <a:off x="0" y="0"/>
                      <a:ext cx="2971800" cy="1450614"/>
                    </a:xfrm>
                    <a:prstGeom prst="rect">
                      <a:avLst/>
                    </a:prstGeom>
                  </pic:spPr>
                </pic:pic>
              </a:graphicData>
            </a:graphic>
          </wp:inline>
        </w:drawing>
      </w:r>
    </w:p>
    <w:p w14:paraId="48C6F9E0" w14:textId="77777777" w:rsidR="00397FF1" w:rsidRDefault="00000000">
      <w:pPr>
        <w:pStyle w:val="tablehead"/>
      </w:pPr>
      <w:r>
        <w:t>Fig. 4.  VQE convergence to ground state of H2 (left) and 30-run final-energy distribution (right).</w:t>
      </w:r>
    </w:p>
    <w:p w14:paraId="146CD0A2" w14:textId="77777777" w:rsidR="00397FF1" w:rsidRDefault="00000000">
      <w:pPr>
        <w:pStyle w:val="Heading2"/>
      </w:pPr>
      <w:r>
        <w:t>C. Cloud Cost Analysis</w:t>
      </w:r>
    </w:p>
    <w:p w14:paraId="2D8C8A8E" w14:textId="77777777" w:rsidR="00397FF1" w:rsidRDefault="00000000">
      <w:pPr>
        <w:pStyle w:val="BodyText"/>
      </w:pPr>
      <w:r>
        <w:t>Table IV translates the per-task runtimes into per-million-task cloud cost using the pricing in Table III. For cybersecurity, classical SVM costs $1.99 per million classifications versus $2.1M for QSVM—a six-order-of-magnitude gap. For molecular simulation, classical exact diagonalization costs $0.06 per million H2 instances versus $2.142M for VQE. Fig. 5 plots the comparison on a logarithmic axis.</w:t>
      </w:r>
    </w:p>
    <w:p w14:paraId="03AC29CE" w14:textId="77777777" w:rsidR="00397FF1" w:rsidRDefault="00000000">
      <w:pPr>
        <w:pStyle w:val="tablehead"/>
      </w:pPr>
      <w:r>
        <w:t>TABLE IV. Cloud Cost per 1 Million Tasks (USD)</w:t>
      </w:r>
    </w:p>
    <w:tbl>
      <w:tblPr>
        <w:tblW w:w="0pt" w:type="auto"/>
        <w:jc w:val="center"/>
        <w:tblBorders>
          <w:top w:val="single" w:sz="4" w:space="0" w:color="auto"/>
          <w:bottom w:val="single" w:sz="4" w:space="0" w:color="auto"/>
          <w:insideH w:val="single" w:sz="4" w:space="0" w:color="auto"/>
        </w:tblBorders>
        <w:tblLook w:firstRow="1" w:lastRow="0" w:firstColumn="1" w:lastColumn="0" w:noHBand="0" w:noVBand="1"/>
      </w:tblPr>
      <w:tblGrid>
        <w:gridCol w:w="1723"/>
        <w:gridCol w:w="576"/>
        <w:gridCol w:w="576"/>
        <w:gridCol w:w="1136"/>
      </w:tblGrid>
      <w:tr w:rsidR="00397FF1" w14:paraId="7C198BCD" w14:textId="77777777">
        <w:trPr>
          <w:jc w:val="center"/>
        </w:trPr>
        <w:tc>
          <w:tcPr>
            <w:tcW w:w="0pt" w:type="auto"/>
            <w:tcBorders>
              <w:top w:val="single" w:sz="4" w:space="0" w:color="auto"/>
              <w:bottom w:val="single" w:sz="4" w:space="0" w:color="auto"/>
            </w:tcBorders>
          </w:tcPr>
          <w:p w14:paraId="7ECC6A7F" w14:textId="77777777" w:rsidR="00397FF1" w:rsidRDefault="00000000">
            <w:pPr>
              <w:pStyle w:val="tablecolhead"/>
            </w:pPr>
            <w:r>
              <w:t>Workload</w:t>
            </w:r>
          </w:p>
        </w:tc>
        <w:tc>
          <w:tcPr>
            <w:tcW w:w="0pt" w:type="auto"/>
            <w:tcBorders>
              <w:top w:val="single" w:sz="4" w:space="0" w:color="auto"/>
              <w:bottom w:val="single" w:sz="4" w:space="0" w:color="auto"/>
            </w:tcBorders>
          </w:tcPr>
          <w:p w14:paraId="031E7FDA" w14:textId="77777777" w:rsidR="00397FF1" w:rsidRDefault="00000000">
            <w:pPr>
              <w:pStyle w:val="tablecolhead"/>
            </w:pPr>
            <w:r>
              <w:t>CPU</w:t>
            </w:r>
          </w:p>
        </w:tc>
        <w:tc>
          <w:tcPr>
            <w:tcW w:w="0pt" w:type="auto"/>
            <w:tcBorders>
              <w:top w:val="single" w:sz="4" w:space="0" w:color="auto"/>
              <w:bottom w:val="single" w:sz="4" w:space="0" w:color="auto"/>
            </w:tcBorders>
          </w:tcPr>
          <w:p w14:paraId="441B8F75" w14:textId="77777777" w:rsidR="00397FF1" w:rsidRDefault="00000000">
            <w:pPr>
              <w:pStyle w:val="tablecolhead"/>
            </w:pPr>
            <w:r>
              <w:t>GPU</w:t>
            </w:r>
          </w:p>
        </w:tc>
        <w:tc>
          <w:tcPr>
            <w:tcW w:w="0pt" w:type="auto"/>
            <w:tcBorders>
              <w:top w:val="single" w:sz="4" w:space="0" w:color="auto"/>
              <w:bottom w:val="single" w:sz="4" w:space="0" w:color="auto"/>
            </w:tcBorders>
          </w:tcPr>
          <w:p w14:paraId="705B5D5C" w14:textId="77777777" w:rsidR="00397FF1" w:rsidRDefault="00000000">
            <w:pPr>
              <w:pStyle w:val="tablecolhead"/>
            </w:pPr>
            <w:r>
              <w:t>QPU</w:t>
            </w:r>
          </w:p>
        </w:tc>
      </w:tr>
      <w:tr w:rsidR="00397FF1" w14:paraId="06B204B0" w14:textId="77777777">
        <w:trPr>
          <w:jc w:val="center"/>
        </w:trPr>
        <w:tc>
          <w:tcPr>
            <w:tcW w:w="0pt" w:type="auto"/>
            <w:tcBorders>
              <w:top w:val="single" w:sz="4" w:space="0" w:color="auto"/>
              <w:bottom w:val="single" w:sz="4" w:space="0" w:color="auto"/>
            </w:tcBorders>
          </w:tcPr>
          <w:p w14:paraId="7B154190" w14:textId="77777777" w:rsidR="00397FF1" w:rsidRDefault="00000000">
            <w:pPr>
              <w:pStyle w:val="tablecopy"/>
            </w:pPr>
            <w:r>
              <w:t>Cybersecurity (QSVM)</w:t>
            </w:r>
          </w:p>
        </w:tc>
        <w:tc>
          <w:tcPr>
            <w:tcW w:w="0pt" w:type="auto"/>
            <w:tcBorders>
              <w:top w:val="single" w:sz="4" w:space="0" w:color="auto"/>
              <w:bottom w:val="single" w:sz="4" w:space="0" w:color="auto"/>
            </w:tcBorders>
          </w:tcPr>
          <w:p w14:paraId="79812885" w14:textId="77777777" w:rsidR="00397FF1" w:rsidRDefault="00000000">
            <w:pPr>
              <w:pStyle w:val="tablecopy"/>
            </w:pPr>
            <w:r>
              <w:t>$1.99</w:t>
            </w:r>
          </w:p>
        </w:tc>
        <w:tc>
          <w:tcPr>
            <w:tcW w:w="0pt" w:type="auto"/>
            <w:tcBorders>
              <w:top w:val="single" w:sz="4" w:space="0" w:color="auto"/>
              <w:bottom w:val="single" w:sz="4" w:space="0" w:color="auto"/>
            </w:tcBorders>
          </w:tcPr>
          <w:p w14:paraId="6AFC7637" w14:textId="77777777" w:rsidR="00397FF1" w:rsidRDefault="00000000">
            <w:pPr>
              <w:pStyle w:val="tablecopy"/>
            </w:pPr>
            <w:r>
              <w:t>$0.28</w:t>
            </w:r>
          </w:p>
        </w:tc>
        <w:tc>
          <w:tcPr>
            <w:tcW w:w="0pt" w:type="auto"/>
            <w:tcBorders>
              <w:top w:val="single" w:sz="4" w:space="0" w:color="auto"/>
              <w:bottom w:val="single" w:sz="4" w:space="0" w:color="auto"/>
            </w:tcBorders>
          </w:tcPr>
          <w:p w14:paraId="72501E94" w14:textId="77777777" w:rsidR="00397FF1" w:rsidRDefault="00000000">
            <w:pPr>
              <w:pStyle w:val="tablecopy"/>
            </w:pPr>
            <w:r>
              <w:t>$2,100,000.00</w:t>
            </w:r>
          </w:p>
        </w:tc>
      </w:tr>
      <w:tr w:rsidR="00397FF1" w14:paraId="1325CBC9" w14:textId="77777777">
        <w:trPr>
          <w:jc w:val="center"/>
        </w:trPr>
        <w:tc>
          <w:tcPr>
            <w:tcW w:w="0pt" w:type="auto"/>
            <w:tcBorders>
              <w:top w:val="single" w:sz="4" w:space="0" w:color="auto"/>
              <w:bottom w:val="single" w:sz="4" w:space="0" w:color="auto"/>
            </w:tcBorders>
          </w:tcPr>
          <w:p w14:paraId="766A7D38" w14:textId="77777777" w:rsidR="00397FF1" w:rsidRDefault="00000000">
            <w:pPr>
              <w:pStyle w:val="tablecopy"/>
            </w:pPr>
            <w:r>
              <w:t>Molecular Sim (VQE)</w:t>
            </w:r>
          </w:p>
        </w:tc>
        <w:tc>
          <w:tcPr>
            <w:tcW w:w="0pt" w:type="auto"/>
            <w:tcBorders>
              <w:top w:val="single" w:sz="4" w:space="0" w:color="auto"/>
              <w:bottom w:val="single" w:sz="4" w:space="0" w:color="auto"/>
            </w:tcBorders>
          </w:tcPr>
          <w:p w14:paraId="6E52D0C4" w14:textId="77777777" w:rsidR="00397FF1" w:rsidRDefault="00000000">
            <w:pPr>
              <w:pStyle w:val="tablecopy"/>
            </w:pPr>
            <w:r>
              <w:t>$0.06</w:t>
            </w:r>
          </w:p>
        </w:tc>
        <w:tc>
          <w:tcPr>
            <w:tcW w:w="0pt" w:type="auto"/>
            <w:tcBorders>
              <w:top w:val="single" w:sz="4" w:space="0" w:color="auto"/>
              <w:bottom w:val="single" w:sz="4" w:space="0" w:color="auto"/>
            </w:tcBorders>
          </w:tcPr>
          <w:p w14:paraId="7A1FE01E" w14:textId="77777777" w:rsidR="00397FF1" w:rsidRDefault="00000000">
            <w:pPr>
              <w:pStyle w:val="tablecopy"/>
            </w:pPr>
            <w:r>
              <w:t>$0.28</w:t>
            </w:r>
          </w:p>
        </w:tc>
        <w:tc>
          <w:tcPr>
            <w:tcW w:w="0pt" w:type="auto"/>
            <w:tcBorders>
              <w:top w:val="single" w:sz="4" w:space="0" w:color="auto"/>
              <w:bottom w:val="single" w:sz="4" w:space="0" w:color="auto"/>
            </w:tcBorders>
          </w:tcPr>
          <w:p w14:paraId="33E5D4E9" w14:textId="77777777" w:rsidR="00397FF1" w:rsidRDefault="00000000">
            <w:pPr>
              <w:pStyle w:val="tablecopy"/>
            </w:pPr>
            <w:r>
              <w:t>$2,142,000.00</w:t>
            </w:r>
          </w:p>
        </w:tc>
      </w:tr>
    </w:tbl>
    <w:p w14:paraId="2C078908" w14:textId="77777777" w:rsidR="00397FF1" w:rsidRDefault="00000000">
      <w:r>
        <w:rPr>
          <w:noProof/>
        </w:rPr>
        <w:drawing>
          <wp:inline distT="0" distB="0" distL="0" distR="0" wp14:anchorId="65A0984A" wp14:editId="5CFF4797">
            <wp:extent cx="2971800" cy="1735789"/>
            <wp:effectExtent l="0" t="0" r="0" b="0"/>
            <wp:docPr id="5" name="Picture 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5" name="cloud_cost_comparison.png"/>
                    <pic:cNvPicPr/>
                  </pic:nvPicPr>
                  <pic:blipFill>
                    <a:blip r:embed="rId12"/>
                    <a:stretch>
                      <a:fillRect/>
                    </a:stretch>
                  </pic:blipFill>
                  <pic:spPr>
                    <a:xfrm>
                      <a:off x="0" y="0"/>
                      <a:ext cx="2971800" cy="1735789"/>
                    </a:xfrm>
                    <a:prstGeom prst="rect">
                      <a:avLst/>
                    </a:prstGeom>
                  </pic:spPr>
                </pic:pic>
              </a:graphicData>
            </a:graphic>
          </wp:inline>
        </w:drawing>
      </w:r>
    </w:p>
    <w:p w14:paraId="3820B56C" w14:textId="77777777" w:rsidR="00397FF1" w:rsidRDefault="00000000">
      <w:pPr>
        <w:pStyle w:val="tablehead"/>
      </w:pPr>
      <w:r>
        <w:t>Fig. 5.  Cloud cost per million tasks across CPU/GPU/QPU tiers for both workloads (April 2026 pricing).</w:t>
      </w:r>
    </w:p>
    <w:p w14:paraId="59DCCEF1" w14:textId="77777777" w:rsidR="00397FF1" w:rsidRDefault="00000000">
      <w:pPr>
        <w:pStyle w:val="Heading2"/>
      </w:pPr>
      <w:r>
        <w:t>D. Multi-Run Statistical Validation</w:t>
      </w:r>
    </w:p>
    <w:p w14:paraId="06FBE42C" w14:textId="77777777" w:rsidR="00397FF1" w:rsidRDefault="00000000">
      <w:pPr>
        <w:pStyle w:val="BodyText"/>
      </w:pPr>
      <w:r>
        <w:t>Table V summarizes the 30-run statistics across all methods. Classical methods are highly stable (std ≈ 0). QAOA, included as a third quantum example for combinatorial tasks, achieves an approximation ratio of 0.7641 ± 0.0120 across 30 runs—see Fig. 6.</w:t>
      </w:r>
    </w:p>
    <w:p w14:paraId="086D1FB0" w14:textId="77777777" w:rsidR="00397FF1" w:rsidRDefault="00000000">
      <w:pPr>
        <w:pStyle w:val="tablehead"/>
      </w:pPr>
      <w:r>
        <w:t>TABLE V. Multi-Run Statistics (30 Runs per Method, F1 Mean +/- Std)</w:t>
      </w:r>
    </w:p>
    <w:tbl>
      <w:tblPr>
        <w:tblW w:w="0pt" w:type="auto"/>
        <w:jc w:val="center"/>
        <w:tblBorders>
          <w:top w:val="single" w:sz="4" w:space="0" w:color="auto"/>
          <w:bottom w:val="single" w:sz="4" w:space="0" w:color="auto"/>
          <w:insideH w:val="single" w:sz="4" w:space="0" w:color="auto"/>
        </w:tblBorders>
        <w:tblLook w:firstRow="1" w:lastRow="0" w:firstColumn="1" w:lastColumn="0" w:noHBand="0" w:noVBand="1"/>
      </w:tblPr>
      <w:tblGrid>
        <w:gridCol w:w="1230"/>
        <w:gridCol w:w="537"/>
        <w:gridCol w:w="825"/>
        <w:gridCol w:w="665"/>
        <w:gridCol w:w="1674"/>
      </w:tblGrid>
      <w:tr w:rsidR="00397FF1" w14:paraId="79973B3B" w14:textId="77777777">
        <w:trPr>
          <w:jc w:val="center"/>
        </w:trPr>
        <w:tc>
          <w:tcPr>
            <w:tcW w:w="0pt" w:type="auto"/>
            <w:tcBorders>
              <w:top w:val="single" w:sz="4" w:space="0" w:color="auto"/>
              <w:bottom w:val="single" w:sz="4" w:space="0" w:color="auto"/>
            </w:tcBorders>
          </w:tcPr>
          <w:p w14:paraId="5D656326" w14:textId="77777777" w:rsidR="00397FF1" w:rsidRDefault="00000000">
            <w:pPr>
              <w:pStyle w:val="tablecolhead"/>
            </w:pPr>
            <w:r>
              <w:t>Method</w:t>
            </w:r>
          </w:p>
        </w:tc>
        <w:tc>
          <w:tcPr>
            <w:tcW w:w="0pt" w:type="auto"/>
            <w:tcBorders>
              <w:top w:val="single" w:sz="4" w:space="0" w:color="auto"/>
              <w:bottom w:val="single" w:sz="4" w:space="0" w:color="auto"/>
            </w:tcBorders>
          </w:tcPr>
          <w:p w14:paraId="15999C32" w14:textId="77777777" w:rsidR="00397FF1" w:rsidRDefault="00000000">
            <w:pPr>
              <w:pStyle w:val="tablecolhead"/>
            </w:pPr>
            <w:r>
              <w:t>Tier</w:t>
            </w:r>
          </w:p>
        </w:tc>
        <w:tc>
          <w:tcPr>
            <w:tcW w:w="0pt" w:type="auto"/>
            <w:tcBorders>
              <w:top w:val="single" w:sz="4" w:space="0" w:color="auto"/>
              <w:bottom w:val="single" w:sz="4" w:space="0" w:color="auto"/>
            </w:tcBorders>
          </w:tcPr>
          <w:p w14:paraId="4109F983" w14:textId="77777777" w:rsidR="00397FF1" w:rsidRDefault="00000000">
            <w:pPr>
              <w:pStyle w:val="tablecolhead"/>
            </w:pPr>
            <w:r>
              <w:t>F1 Mean</w:t>
            </w:r>
          </w:p>
        </w:tc>
        <w:tc>
          <w:tcPr>
            <w:tcW w:w="0pt" w:type="auto"/>
            <w:tcBorders>
              <w:top w:val="single" w:sz="4" w:space="0" w:color="auto"/>
              <w:bottom w:val="single" w:sz="4" w:space="0" w:color="auto"/>
            </w:tcBorders>
          </w:tcPr>
          <w:p w14:paraId="36B5FE24" w14:textId="77777777" w:rsidR="00397FF1" w:rsidRDefault="00000000">
            <w:pPr>
              <w:pStyle w:val="tablecolhead"/>
            </w:pPr>
            <w:r>
              <w:t>F1 Std</w:t>
            </w:r>
          </w:p>
        </w:tc>
        <w:tc>
          <w:tcPr>
            <w:tcW w:w="0pt" w:type="auto"/>
            <w:tcBorders>
              <w:top w:val="single" w:sz="4" w:space="0" w:color="auto"/>
              <w:bottom w:val="single" w:sz="4" w:space="0" w:color="auto"/>
            </w:tcBorders>
          </w:tcPr>
          <w:p w14:paraId="7EE385F6" w14:textId="77777777" w:rsidR="00397FF1" w:rsidRDefault="00000000">
            <w:pPr>
              <w:pStyle w:val="tablecolhead"/>
            </w:pPr>
            <w:r>
              <w:t>QAOA Approx Ratio</w:t>
            </w:r>
          </w:p>
        </w:tc>
      </w:tr>
      <w:tr w:rsidR="00397FF1" w14:paraId="329AE5FA" w14:textId="77777777">
        <w:trPr>
          <w:jc w:val="center"/>
        </w:trPr>
        <w:tc>
          <w:tcPr>
            <w:tcW w:w="0pt" w:type="auto"/>
            <w:tcBorders>
              <w:top w:val="single" w:sz="4" w:space="0" w:color="auto"/>
              <w:bottom w:val="single" w:sz="4" w:space="0" w:color="auto"/>
            </w:tcBorders>
          </w:tcPr>
          <w:p w14:paraId="39C832DB" w14:textId="77777777" w:rsidR="00397FF1" w:rsidRDefault="00000000">
            <w:pPr>
              <w:pStyle w:val="tablecopy"/>
            </w:pPr>
            <w:r>
              <w:t>SVM</w:t>
            </w:r>
          </w:p>
        </w:tc>
        <w:tc>
          <w:tcPr>
            <w:tcW w:w="0pt" w:type="auto"/>
            <w:tcBorders>
              <w:top w:val="single" w:sz="4" w:space="0" w:color="auto"/>
              <w:bottom w:val="single" w:sz="4" w:space="0" w:color="auto"/>
            </w:tcBorders>
          </w:tcPr>
          <w:p w14:paraId="5053CF1A" w14:textId="77777777" w:rsidR="00397FF1" w:rsidRDefault="00000000">
            <w:pPr>
              <w:pStyle w:val="tablecopy"/>
            </w:pPr>
            <w:r>
              <w:t>CPU</w:t>
            </w:r>
          </w:p>
        </w:tc>
        <w:tc>
          <w:tcPr>
            <w:tcW w:w="0pt" w:type="auto"/>
            <w:tcBorders>
              <w:top w:val="single" w:sz="4" w:space="0" w:color="auto"/>
              <w:bottom w:val="single" w:sz="4" w:space="0" w:color="auto"/>
            </w:tcBorders>
          </w:tcPr>
          <w:p w14:paraId="3A3D0697" w14:textId="77777777" w:rsidR="00397FF1" w:rsidRDefault="00000000">
            <w:pPr>
              <w:pStyle w:val="tablecopy"/>
            </w:pPr>
            <w:r>
              <w:t>0.9744</w:t>
            </w:r>
          </w:p>
        </w:tc>
        <w:tc>
          <w:tcPr>
            <w:tcW w:w="0pt" w:type="auto"/>
            <w:tcBorders>
              <w:top w:val="single" w:sz="4" w:space="0" w:color="auto"/>
              <w:bottom w:val="single" w:sz="4" w:space="0" w:color="auto"/>
            </w:tcBorders>
          </w:tcPr>
          <w:p w14:paraId="5232A925" w14:textId="77777777" w:rsidR="00397FF1" w:rsidRDefault="00000000">
            <w:pPr>
              <w:pStyle w:val="tablecopy"/>
            </w:pPr>
            <w:r>
              <w:t>0.0000</w:t>
            </w:r>
          </w:p>
        </w:tc>
        <w:tc>
          <w:tcPr>
            <w:tcW w:w="0pt" w:type="auto"/>
            <w:tcBorders>
              <w:top w:val="single" w:sz="4" w:space="0" w:color="auto"/>
              <w:bottom w:val="single" w:sz="4" w:space="0" w:color="auto"/>
            </w:tcBorders>
          </w:tcPr>
          <w:p w14:paraId="7C8FC58E" w14:textId="77777777" w:rsidR="00397FF1" w:rsidRDefault="00000000">
            <w:pPr>
              <w:pStyle w:val="tablecopy"/>
            </w:pPr>
            <w:r>
              <w:t>-</w:t>
            </w:r>
          </w:p>
        </w:tc>
      </w:tr>
      <w:tr w:rsidR="00397FF1" w14:paraId="734B5277" w14:textId="77777777">
        <w:trPr>
          <w:jc w:val="center"/>
        </w:trPr>
        <w:tc>
          <w:tcPr>
            <w:tcW w:w="0pt" w:type="auto"/>
            <w:tcBorders>
              <w:top w:val="single" w:sz="4" w:space="0" w:color="auto"/>
              <w:bottom w:val="single" w:sz="4" w:space="0" w:color="auto"/>
            </w:tcBorders>
          </w:tcPr>
          <w:p w14:paraId="7B75785D" w14:textId="77777777" w:rsidR="00397FF1" w:rsidRDefault="00000000">
            <w:pPr>
              <w:pStyle w:val="tablecopy"/>
            </w:pPr>
            <w:r>
              <w:t>Random Forest</w:t>
            </w:r>
          </w:p>
        </w:tc>
        <w:tc>
          <w:tcPr>
            <w:tcW w:w="0pt" w:type="auto"/>
            <w:tcBorders>
              <w:top w:val="single" w:sz="4" w:space="0" w:color="auto"/>
              <w:bottom w:val="single" w:sz="4" w:space="0" w:color="auto"/>
            </w:tcBorders>
          </w:tcPr>
          <w:p w14:paraId="6497921A" w14:textId="77777777" w:rsidR="00397FF1" w:rsidRDefault="00000000">
            <w:pPr>
              <w:pStyle w:val="tablecopy"/>
            </w:pPr>
            <w:r>
              <w:t>CPU</w:t>
            </w:r>
          </w:p>
        </w:tc>
        <w:tc>
          <w:tcPr>
            <w:tcW w:w="0pt" w:type="auto"/>
            <w:tcBorders>
              <w:top w:val="single" w:sz="4" w:space="0" w:color="auto"/>
              <w:bottom w:val="single" w:sz="4" w:space="0" w:color="auto"/>
            </w:tcBorders>
          </w:tcPr>
          <w:p w14:paraId="25CCD546" w14:textId="77777777" w:rsidR="00397FF1" w:rsidRDefault="00000000">
            <w:pPr>
              <w:pStyle w:val="tablecopy"/>
            </w:pPr>
            <w:r>
              <w:t>0.9981</w:t>
            </w:r>
          </w:p>
        </w:tc>
        <w:tc>
          <w:tcPr>
            <w:tcW w:w="0pt" w:type="auto"/>
            <w:tcBorders>
              <w:top w:val="single" w:sz="4" w:space="0" w:color="auto"/>
              <w:bottom w:val="single" w:sz="4" w:space="0" w:color="auto"/>
            </w:tcBorders>
          </w:tcPr>
          <w:p w14:paraId="3E1EB280" w14:textId="77777777" w:rsidR="00397FF1" w:rsidRDefault="00000000">
            <w:pPr>
              <w:pStyle w:val="tablecopy"/>
            </w:pPr>
            <w:r>
              <w:t>0.0000</w:t>
            </w:r>
          </w:p>
        </w:tc>
        <w:tc>
          <w:tcPr>
            <w:tcW w:w="0pt" w:type="auto"/>
            <w:tcBorders>
              <w:top w:val="single" w:sz="4" w:space="0" w:color="auto"/>
              <w:bottom w:val="single" w:sz="4" w:space="0" w:color="auto"/>
            </w:tcBorders>
          </w:tcPr>
          <w:p w14:paraId="3AB2AAB2" w14:textId="77777777" w:rsidR="00397FF1" w:rsidRDefault="00000000">
            <w:pPr>
              <w:pStyle w:val="tablecopy"/>
            </w:pPr>
            <w:r>
              <w:t>-</w:t>
            </w:r>
          </w:p>
        </w:tc>
      </w:tr>
      <w:tr w:rsidR="00397FF1" w14:paraId="088678A1" w14:textId="77777777">
        <w:trPr>
          <w:jc w:val="center"/>
        </w:trPr>
        <w:tc>
          <w:tcPr>
            <w:tcW w:w="0pt" w:type="auto"/>
            <w:tcBorders>
              <w:top w:val="single" w:sz="4" w:space="0" w:color="auto"/>
              <w:bottom w:val="single" w:sz="4" w:space="0" w:color="auto"/>
            </w:tcBorders>
          </w:tcPr>
          <w:p w14:paraId="2BA79D56" w14:textId="77777777" w:rsidR="00397FF1" w:rsidRDefault="00000000">
            <w:pPr>
              <w:pStyle w:val="tablecopy"/>
            </w:pPr>
            <w:r>
              <w:t>Gradient Boost.</w:t>
            </w:r>
          </w:p>
        </w:tc>
        <w:tc>
          <w:tcPr>
            <w:tcW w:w="0pt" w:type="auto"/>
            <w:tcBorders>
              <w:top w:val="single" w:sz="4" w:space="0" w:color="auto"/>
              <w:bottom w:val="single" w:sz="4" w:space="0" w:color="auto"/>
            </w:tcBorders>
          </w:tcPr>
          <w:p w14:paraId="584BBAB1" w14:textId="77777777" w:rsidR="00397FF1" w:rsidRDefault="00000000">
            <w:pPr>
              <w:pStyle w:val="tablecopy"/>
            </w:pPr>
            <w:r>
              <w:t>CPU</w:t>
            </w:r>
          </w:p>
        </w:tc>
        <w:tc>
          <w:tcPr>
            <w:tcW w:w="0pt" w:type="auto"/>
            <w:tcBorders>
              <w:top w:val="single" w:sz="4" w:space="0" w:color="auto"/>
              <w:bottom w:val="single" w:sz="4" w:space="0" w:color="auto"/>
            </w:tcBorders>
          </w:tcPr>
          <w:p w14:paraId="6C45F8F5" w14:textId="77777777" w:rsidR="00397FF1" w:rsidRDefault="00000000">
            <w:pPr>
              <w:pStyle w:val="tablecopy"/>
            </w:pPr>
            <w:r>
              <w:t>0.9974</w:t>
            </w:r>
          </w:p>
        </w:tc>
        <w:tc>
          <w:tcPr>
            <w:tcW w:w="0pt" w:type="auto"/>
            <w:tcBorders>
              <w:top w:val="single" w:sz="4" w:space="0" w:color="auto"/>
              <w:bottom w:val="single" w:sz="4" w:space="0" w:color="auto"/>
            </w:tcBorders>
          </w:tcPr>
          <w:p w14:paraId="536CB4FB" w14:textId="77777777" w:rsidR="00397FF1" w:rsidRDefault="00000000">
            <w:pPr>
              <w:pStyle w:val="tablecopy"/>
            </w:pPr>
            <w:r>
              <w:t>0.0000</w:t>
            </w:r>
          </w:p>
        </w:tc>
        <w:tc>
          <w:tcPr>
            <w:tcW w:w="0pt" w:type="auto"/>
            <w:tcBorders>
              <w:top w:val="single" w:sz="4" w:space="0" w:color="auto"/>
              <w:bottom w:val="single" w:sz="4" w:space="0" w:color="auto"/>
            </w:tcBorders>
          </w:tcPr>
          <w:p w14:paraId="0C67E345" w14:textId="77777777" w:rsidR="00397FF1" w:rsidRDefault="00000000">
            <w:pPr>
              <w:pStyle w:val="tablecopy"/>
            </w:pPr>
            <w:r>
              <w:t>-</w:t>
            </w:r>
          </w:p>
        </w:tc>
      </w:tr>
      <w:tr w:rsidR="00397FF1" w14:paraId="130EB655" w14:textId="77777777">
        <w:trPr>
          <w:jc w:val="center"/>
        </w:trPr>
        <w:tc>
          <w:tcPr>
            <w:tcW w:w="0pt" w:type="auto"/>
            <w:tcBorders>
              <w:top w:val="single" w:sz="4" w:space="0" w:color="auto"/>
              <w:bottom w:val="single" w:sz="4" w:space="0" w:color="auto"/>
            </w:tcBorders>
          </w:tcPr>
          <w:p w14:paraId="29CE728F" w14:textId="77777777" w:rsidR="00397FF1" w:rsidRDefault="00000000">
            <w:pPr>
              <w:pStyle w:val="tablecopy"/>
            </w:pPr>
            <w:r>
              <w:t>KNN (k=5)</w:t>
            </w:r>
          </w:p>
        </w:tc>
        <w:tc>
          <w:tcPr>
            <w:tcW w:w="0pt" w:type="auto"/>
            <w:tcBorders>
              <w:top w:val="single" w:sz="4" w:space="0" w:color="auto"/>
              <w:bottom w:val="single" w:sz="4" w:space="0" w:color="auto"/>
            </w:tcBorders>
          </w:tcPr>
          <w:p w14:paraId="700DA905" w14:textId="77777777" w:rsidR="00397FF1" w:rsidRDefault="00000000">
            <w:pPr>
              <w:pStyle w:val="tablecopy"/>
            </w:pPr>
            <w:r>
              <w:t>CPU</w:t>
            </w:r>
          </w:p>
        </w:tc>
        <w:tc>
          <w:tcPr>
            <w:tcW w:w="0pt" w:type="auto"/>
            <w:tcBorders>
              <w:top w:val="single" w:sz="4" w:space="0" w:color="auto"/>
              <w:bottom w:val="single" w:sz="4" w:space="0" w:color="auto"/>
            </w:tcBorders>
          </w:tcPr>
          <w:p w14:paraId="571A132F" w14:textId="77777777" w:rsidR="00397FF1" w:rsidRDefault="00000000">
            <w:pPr>
              <w:pStyle w:val="tablecopy"/>
            </w:pPr>
            <w:r>
              <w:t>0.9962</w:t>
            </w:r>
          </w:p>
        </w:tc>
        <w:tc>
          <w:tcPr>
            <w:tcW w:w="0pt" w:type="auto"/>
            <w:tcBorders>
              <w:top w:val="single" w:sz="4" w:space="0" w:color="auto"/>
              <w:bottom w:val="single" w:sz="4" w:space="0" w:color="auto"/>
            </w:tcBorders>
          </w:tcPr>
          <w:p w14:paraId="1E5EE158" w14:textId="77777777" w:rsidR="00397FF1" w:rsidRDefault="00000000">
            <w:pPr>
              <w:pStyle w:val="tablecopy"/>
            </w:pPr>
            <w:r>
              <w:t>0.0000</w:t>
            </w:r>
          </w:p>
        </w:tc>
        <w:tc>
          <w:tcPr>
            <w:tcW w:w="0pt" w:type="auto"/>
            <w:tcBorders>
              <w:top w:val="single" w:sz="4" w:space="0" w:color="auto"/>
              <w:bottom w:val="single" w:sz="4" w:space="0" w:color="auto"/>
            </w:tcBorders>
          </w:tcPr>
          <w:p w14:paraId="38F7BCB1" w14:textId="77777777" w:rsidR="00397FF1" w:rsidRDefault="00000000">
            <w:pPr>
              <w:pStyle w:val="tablecopy"/>
            </w:pPr>
            <w:r>
              <w:t>-</w:t>
            </w:r>
          </w:p>
        </w:tc>
      </w:tr>
      <w:tr w:rsidR="00397FF1" w14:paraId="75DC0CA3" w14:textId="77777777">
        <w:trPr>
          <w:jc w:val="center"/>
        </w:trPr>
        <w:tc>
          <w:tcPr>
            <w:tcW w:w="0pt" w:type="auto"/>
            <w:tcBorders>
              <w:top w:val="single" w:sz="4" w:space="0" w:color="auto"/>
              <w:bottom w:val="single" w:sz="4" w:space="0" w:color="auto"/>
            </w:tcBorders>
          </w:tcPr>
          <w:p w14:paraId="3675A12A" w14:textId="77777777" w:rsidR="00397FF1" w:rsidRDefault="00000000">
            <w:pPr>
              <w:pStyle w:val="tablecopy"/>
            </w:pPr>
            <w:r>
              <w:t>QSVM</w:t>
            </w:r>
          </w:p>
        </w:tc>
        <w:tc>
          <w:tcPr>
            <w:tcW w:w="0pt" w:type="auto"/>
            <w:tcBorders>
              <w:top w:val="single" w:sz="4" w:space="0" w:color="auto"/>
              <w:bottom w:val="single" w:sz="4" w:space="0" w:color="auto"/>
            </w:tcBorders>
          </w:tcPr>
          <w:p w14:paraId="59B48A45" w14:textId="77777777" w:rsidR="00397FF1" w:rsidRDefault="00000000">
            <w:pPr>
              <w:pStyle w:val="tablecopy"/>
            </w:pPr>
            <w:r>
              <w:t>QPU</w:t>
            </w:r>
          </w:p>
        </w:tc>
        <w:tc>
          <w:tcPr>
            <w:tcW w:w="0pt" w:type="auto"/>
            <w:tcBorders>
              <w:top w:val="single" w:sz="4" w:space="0" w:color="auto"/>
              <w:bottom w:val="single" w:sz="4" w:space="0" w:color="auto"/>
            </w:tcBorders>
          </w:tcPr>
          <w:p w14:paraId="7E2953E0" w14:textId="77777777" w:rsidR="00397FF1" w:rsidRDefault="00000000">
            <w:pPr>
              <w:pStyle w:val="tablecopy"/>
            </w:pPr>
            <w:r>
              <w:t>0.6667</w:t>
            </w:r>
          </w:p>
        </w:tc>
        <w:tc>
          <w:tcPr>
            <w:tcW w:w="0pt" w:type="auto"/>
            <w:tcBorders>
              <w:top w:val="single" w:sz="4" w:space="0" w:color="auto"/>
              <w:bottom w:val="single" w:sz="4" w:space="0" w:color="auto"/>
            </w:tcBorders>
          </w:tcPr>
          <w:p w14:paraId="1283BE46" w14:textId="77777777" w:rsidR="00397FF1" w:rsidRDefault="00000000">
            <w:pPr>
              <w:pStyle w:val="tablecopy"/>
            </w:pPr>
            <w:r>
              <w:t>0.0000</w:t>
            </w:r>
          </w:p>
        </w:tc>
        <w:tc>
          <w:tcPr>
            <w:tcW w:w="0pt" w:type="auto"/>
            <w:tcBorders>
              <w:top w:val="single" w:sz="4" w:space="0" w:color="auto"/>
              <w:bottom w:val="single" w:sz="4" w:space="0" w:color="auto"/>
            </w:tcBorders>
          </w:tcPr>
          <w:p w14:paraId="63274DAF" w14:textId="77777777" w:rsidR="00397FF1" w:rsidRDefault="00000000">
            <w:pPr>
              <w:pStyle w:val="tablecopy"/>
            </w:pPr>
            <w:r>
              <w:t>-</w:t>
            </w:r>
          </w:p>
        </w:tc>
      </w:tr>
      <w:tr w:rsidR="00397FF1" w14:paraId="5B57766E" w14:textId="77777777">
        <w:trPr>
          <w:jc w:val="center"/>
        </w:trPr>
        <w:tc>
          <w:tcPr>
            <w:tcW w:w="0pt" w:type="auto"/>
            <w:tcBorders>
              <w:top w:val="single" w:sz="4" w:space="0" w:color="auto"/>
              <w:bottom w:val="single" w:sz="4" w:space="0" w:color="auto"/>
            </w:tcBorders>
          </w:tcPr>
          <w:p w14:paraId="15DDAFCB" w14:textId="77777777" w:rsidR="00397FF1" w:rsidRDefault="00000000">
            <w:pPr>
              <w:pStyle w:val="tablecopy"/>
            </w:pPr>
            <w:r>
              <w:t>QAOA</w:t>
            </w:r>
          </w:p>
        </w:tc>
        <w:tc>
          <w:tcPr>
            <w:tcW w:w="0pt" w:type="auto"/>
            <w:tcBorders>
              <w:top w:val="single" w:sz="4" w:space="0" w:color="auto"/>
              <w:bottom w:val="single" w:sz="4" w:space="0" w:color="auto"/>
            </w:tcBorders>
          </w:tcPr>
          <w:p w14:paraId="74ADCBD8" w14:textId="77777777" w:rsidR="00397FF1" w:rsidRDefault="00000000">
            <w:pPr>
              <w:pStyle w:val="tablecopy"/>
            </w:pPr>
            <w:r>
              <w:t>QPU</w:t>
            </w:r>
          </w:p>
        </w:tc>
        <w:tc>
          <w:tcPr>
            <w:tcW w:w="0pt" w:type="auto"/>
            <w:tcBorders>
              <w:top w:val="single" w:sz="4" w:space="0" w:color="auto"/>
              <w:bottom w:val="single" w:sz="4" w:space="0" w:color="auto"/>
            </w:tcBorders>
          </w:tcPr>
          <w:p w14:paraId="4A721A26" w14:textId="77777777" w:rsidR="00397FF1" w:rsidRDefault="00000000">
            <w:pPr>
              <w:pStyle w:val="tablecopy"/>
            </w:pPr>
            <w:r>
              <w:t>-</w:t>
            </w:r>
          </w:p>
        </w:tc>
        <w:tc>
          <w:tcPr>
            <w:tcW w:w="0pt" w:type="auto"/>
            <w:tcBorders>
              <w:top w:val="single" w:sz="4" w:space="0" w:color="auto"/>
              <w:bottom w:val="single" w:sz="4" w:space="0" w:color="auto"/>
            </w:tcBorders>
          </w:tcPr>
          <w:p w14:paraId="1662073D" w14:textId="77777777" w:rsidR="00397FF1" w:rsidRDefault="00000000">
            <w:pPr>
              <w:pStyle w:val="tablecopy"/>
            </w:pPr>
            <w:r>
              <w:t>-</w:t>
            </w:r>
          </w:p>
        </w:tc>
        <w:tc>
          <w:tcPr>
            <w:tcW w:w="0pt" w:type="auto"/>
            <w:tcBorders>
              <w:top w:val="single" w:sz="4" w:space="0" w:color="auto"/>
              <w:bottom w:val="single" w:sz="4" w:space="0" w:color="auto"/>
            </w:tcBorders>
          </w:tcPr>
          <w:p w14:paraId="49BC640F" w14:textId="77777777" w:rsidR="00397FF1" w:rsidRDefault="00000000">
            <w:pPr>
              <w:pStyle w:val="tablecopy"/>
            </w:pPr>
            <w:r>
              <w:t>0.7641 +/- 0.0120</w:t>
            </w:r>
          </w:p>
        </w:tc>
      </w:tr>
    </w:tbl>
    <w:p w14:paraId="456731C7" w14:textId="77777777" w:rsidR="00397FF1" w:rsidRDefault="00000000">
      <w:r>
        <w:rPr>
          <w:noProof/>
        </w:rPr>
        <w:drawing>
          <wp:inline distT="0" distB="0" distL="0" distR="0" wp14:anchorId="486A5D99" wp14:editId="33958615">
            <wp:extent cx="2971800" cy="1488411"/>
            <wp:effectExtent l="0" t="0" r="0" b="0"/>
            <wp:docPr id="6" name="Picture 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6" name="qaoa_multirun_boxplot.png"/>
                    <pic:cNvPicPr/>
                  </pic:nvPicPr>
                  <pic:blipFill>
                    <a:blip r:embed="rId13"/>
                    <a:stretch>
                      <a:fillRect/>
                    </a:stretch>
                  </pic:blipFill>
                  <pic:spPr>
                    <a:xfrm>
                      <a:off x="0" y="0"/>
                      <a:ext cx="2971800" cy="1488411"/>
                    </a:xfrm>
                    <a:prstGeom prst="rect">
                      <a:avLst/>
                    </a:prstGeom>
                  </pic:spPr>
                </pic:pic>
              </a:graphicData>
            </a:graphic>
          </wp:inline>
        </w:drawing>
      </w:r>
    </w:p>
    <w:p w14:paraId="22ED74A3" w14:textId="77777777" w:rsidR="00397FF1" w:rsidRDefault="00000000">
      <w:pPr>
        <w:pStyle w:val="tablehead"/>
      </w:pPr>
      <w:r>
        <w:t>Fig. 6.  QAOA approximation ratio across 30 runs (combinatorial optimization).</w:t>
      </w:r>
    </w:p>
    <w:p w14:paraId="0AA066C9" w14:textId="77777777" w:rsidR="00397FF1" w:rsidRDefault="00000000">
      <w:pPr>
        <w:pStyle w:val="Heading1"/>
      </w:pPr>
      <w:r>
        <w:t>Cross-Workload Analysis</w:t>
      </w:r>
    </w:p>
    <w:p w14:paraId="4693F121" w14:textId="77777777" w:rsidR="00397FF1" w:rsidRDefault="00000000">
      <w:pPr>
        <w:pStyle w:val="Heading2"/>
      </w:pPr>
      <w:r>
        <w:t>A. Two Contrasting Verdicts</w:t>
      </w:r>
    </w:p>
    <w:p w14:paraId="34965D19" w14:textId="77777777" w:rsidR="00397FF1" w:rsidRDefault="00000000">
      <w:pPr>
        <w:pStyle w:val="BodyText"/>
      </w:pPr>
      <w:r>
        <w:t xml:space="preserve">Fig. 7 presents the headline cross-workload comparison. The two workloads return opposite verdicts under the same framework. Cybersecurity (low feature dimension, tabular data) is decisively classical: SVM and RF dominate by roughly 10,000× in energy and six orders of magnitude in dollars. Molecular simulation is also classical at H2 scale today, but the classical method scales as O(2^n) in qubit count while VQE scales polynomially—so beyond roughly 30–50 qubits of active space the classical option simply does not fit in any data-center RAM </w:t>
      </w:r>
      <w:hyperlink w:anchor="ref29" w:history="1">
        <w:r>
          <w:t>[29]</w:t>
        </w:r>
      </w:hyperlink>
      <w:r>
        <w:t>. The same framework, two contrasting verdicts: that contrast is the value.</w:t>
      </w:r>
    </w:p>
    <w:p w14:paraId="077E6752" w14:textId="77777777" w:rsidR="00397FF1" w:rsidRDefault="00000000">
      <w:r>
        <w:rPr>
          <w:noProof/>
        </w:rPr>
        <w:drawing>
          <wp:inline distT="0" distB="0" distL="0" distR="0" wp14:anchorId="0A45A2C2" wp14:editId="2C8198C3">
            <wp:extent cx="2971800" cy="1445897"/>
            <wp:effectExtent l="0" t="0" r="0" b="0"/>
            <wp:docPr id="7" name="Picture 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7" name="cross_workload_comparison.png"/>
                    <pic:cNvPicPr/>
                  </pic:nvPicPr>
                  <pic:blipFill>
                    <a:blip r:embed="rId14"/>
                    <a:stretch>
                      <a:fillRect/>
                    </a:stretch>
                  </pic:blipFill>
                  <pic:spPr>
                    <a:xfrm>
                      <a:off x="0" y="0"/>
                      <a:ext cx="2971800" cy="1445897"/>
                    </a:xfrm>
                    <a:prstGeom prst="rect">
                      <a:avLst/>
                    </a:prstGeom>
                  </pic:spPr>
                </pic:pic>
              </a:graphicData>
            </a:graphic>
          </wp:inline>
        </w:drawing>
      </w:r>
    </w:p>
    <w:p w14:paraId="174E6319" w14:textId="77777777" w:rsidR="00397FF1" w:rsidRDefault="00000000">
      <w:pPr>
        <w:pStyle w:val="tablehead"/>
      </w:pPr>
      <w:r>
        <w:t>Fig. 7.  Two contrasting verdicts: cybersecurity (classical wins by ~10,000x) vs molecular simulation (quantum needed at scale).</w:t>
      </w:r>
    </w:p>
    <w:p w14:paraId="353C734D" w14:textId="77777777" w:rsidR="00397FF1" w:rsidRDefault="00000000">
      <w:pPr>
        <w:pStyle w:val="Heading2"/>
      </w:pPr>
      <w:r>
        <w:t>B. Pareto Frontier</w:t>
      </w:r>
    </w:p>
    <w:p w14:paraId="6B2013CE" w14:textId="77777777" w:rsidR="00397FF1" w:rsidRDefault="00000000">
      <w:pPr>
        <w:pStyle w:val="BodyText"/>
      </w:pPr>
      <w:r>
        <w:t>Fig. 8 shows the Pareto frontier on the cybersecurity workload. SVM and Random Forest are jointly Pareto-optimal across the (cost, energy, latency, -accuracy) objective set: no other method dominates them on all four axes. Algorithm 1 Step 4 returns this dominated set automatically. For molecular simulation, classical exact diagonalization Pareto-dominates VQE for n &lt; 30 qubits; quantum dominates for n &gt; 50 because no classical implementation exists at that scale.</w:t>
      </w:r>
    </w:p>
    <w:p w14:paraId="48A4C6F0" w14:textId="77777777" w:rsidR="00397FF1" w:rsidRDefault="00000000">
      <w:r>
        <w:rPr>
          <w:noProof/>
        </w:rPr>
        <w:drawing>
          <wp:inline distT="0" distB="0" distL="0" distR="0" wp14:anchorId="02CE31BB" wp14:editId="3B5691F3">
            <wp:extent cx="2971800" cy="1984242"/>
            <wp:effectExtent l="0" t="0" r="0" b="0"/>
            <wp:docPr id="8" name="Picture 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8" name="pareto_frontier.png"/>
                    <pic:cNvPicPr/>
                  </pic:nvPicPr>
                  <pic:blipFill>
                    <a:blip r:embed="rId15"/>
                    <a:stretch>
                      <a:fillRect/>
                    </a:stretch>
                  </pic:blipFill>
                  <pic:spPr>
                    <a:xfrm>
                      <a:off x="0" y="0"/>
                      <a:ext cx="2971800" cy="1984242"/>
                    </a:xfrm>
                    <a:prstGeom prst="rect">
                      <a:avLst/>
                    </a:prstGeom>
                  </pic:spPr>
                </pic:pic>
              </a:graphicData>
            </a:graphic>
          </wp:inline>
        </w:drawing>
      </w:r>
    </w:p>
    <w:p w14:paraId="7470BDD3" w14:textId="77777777" w:rsidR="00397FF1" w:rsidRDefault="00000000">
      <w:pPr>
        <w:pStyle w:val="tablehead"/>
      </w:pPr>
      <w:r>
        <w:t>Fig. 8.  Pareto frontier on cybersecurity workload—SVM and Random Forest are Pareto-optimal.</w:t>
      </w:r>
    </w:p>
    <w:p w14:paraId="242F4349" w14:textId="77777777" w:rsidR="00397FF1" w:rsidRDefault="00000000">
      <w:pPr>
        <w:pStyle w:val="Heading2"/>
      </w:pPr>
      <w:r>
        <w:t>C. Workload-Aware Allocation Rule</w:t>
      </w:r>
    </w:p>
    <w:p w14:paraId="44351645" w14:textId="77777777" w:rsidR="00397FF1" w:rsidRDefault="00000000">
      <w:pPr>
        <w:pStyle w:val="BodyText"/>
      </w:pPr>
      <w:r>
        <w:t>Fig. 9 visualizes the workload-aware allocation rule encoded in Algorithm 1, Step 1. The thresholds are: N_classical = 30 qubits for molecular simulation (RAM wall), d_low = 100 features (CPU regime), d_high = 10,000 features (GPU regime), and n_classical = 50 nodes for combinatorial optimization. These numbers are the boundaries at which either classical performance breaks down or quantum becomes the only feasible option.</w:t>
      </w:r>
    </w:p>
    <w:p w14:paraId="43A42B3C" w14:textId="77777777" w:rsidR="00397FF1" w:rsidRDefault="00000000">
      <w:r>
        <w:rPr>
          <w:noProof/>
        </w:rPr>
        <w:drawing>
          <wp:inline distT="0" distB="0" distL="0" distR="0" wp14:anchorId="0329E7E8" wp14:editId="79B2647A">
            <wp:extent cx="2971800" cy="1890001"/>
            <wp:effectExtent l="0" t="0" r="0" b="0"/>
            <wp:docPr id="9" name="Picture 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9" name="allocation_decision_tree.png"/>
                    <pic:cNvPicPr/>
                  </pic:nvPicPr>
                  <pic:blipFill>
                    <a:blip r:embed="rId16"/>
                    <a:stretch>
                      <a:fillRect/>
                    </a:stretch>
                  </pic:blipFill>
                  <pic:spPr>
                    <a:xfrm>
                      <a:off x="0" y="0"/>
                      <a:ext cx="2971800" cy="1890001"/>
                    </a:xfrm>
                    <a:prstGeom prst="rect">
                      <a:avLst/>
                    </a:prstGeom>
                  </pic:spPr>
                </pic:pic>
              </a:graphicData>
            </a:graphic>
          </wp:inline>
        </w:drawing>
      </w:r>
    </w:p>
    <w:p w14:paraId="0C1B724B" w14:textId="77777777" w:rsidR="00397FF1" w:rsidRDefault="00000000">
      <w:pPr>
        <w:pStyle w:val="tablehead"/>
      </w:pPr>
      <w:r>
        <w:t>Fig. 9.  HERO workload-aware allocation rule (Algorithm 1, Step 1)—visual decision tree.</w:t>
      </w:r>
    </w:p>
    <w:p w14:paraId="13FC6464" w14:textId="77777777" w:rsidR="00397FF1" w:rsidRDefault="00000000">
      <w:pPr>
        <w:pStyle w:val="BodyText"/>
      </w:pPr>
      <w:r>
        <w:t>Fig. 10 projects the cost crossover for cybersecurity kernels: on fault-tolerant hardware, the quantum kernel’s O(log d) scaling overtakes classical RBF’s O(d) at feature dimensions in the thousands—a target for the post-NISQ era.</w:t>
      </w:r>
    </w:p>
    <w:p w14:paraId="54A40C32" w14:textId="77777777" w:rsidR="00397FF1" w:rsidRDefault="00000000">
      <w:r>
        <w:rPr>
          <w:noProof/>
        </w:rPr>
        <w:drawing>
          <wp:inline distT="0" distB="0" distL="0" distR="0" wp14:anchorId="4BC59B2D" wp14:editId="76DEEBAE">
            <wp:extent cx="2971800" cy="1840489"/>
            <wp:effectExtent l="0" t="0" r="0" b="0"/>
            <wp:docPr id="10" name="Picture 10"/>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0" name="crossover_projection.png"/>
                    <pic:cNvPicPr/>
                  </pic:nvPicPr>
                  <pic:blipFill>
                    <a:blip r:embed="rId17"/>
                    <a:stretch>
                      <a:fillRect/>
                    </a:stretch>
                  </pic:blipFill>
                  <pic:spPr>
                    <a:xfrm>
                      <a:off x="0" y="0"/>
                      <a:ext cx="2971800" cy="1840489"/>
                    </a:xfrm>
                    <a:prstGeom prst="rect">
                      <a:avLst/>
                    </a:prstGeom>
                  </pic:spPr>
                </pic:pic>
              </a:graphicData>
            </a:graphic>
          </wp:inline>
        </w:drawing>
      </w:r>
    </w:p>
    <w:p w14:paraId="3474B906" w14:textId="77777777" w:rsidR="00397FF1" w:rsidRDefault="00000000">
      <w:pPr>
        <w:pStyle w:val="tablehead"/>
      </w:pPr>
      <w:r>
        <w:t>Fig. 10.  Quantum-classical cost crossover projection for cybersecurity kernels.</w:t>
      </w:r>
    </w:p>
    <w:p w14:paraId="7CEAF35E" w14:textId="77777777" w:rsidR="00397FF1" w:rsidRDefault="00000000">
      <w:pPr>
        <w:pStyle w:val="Heading1"/>
      </w:pPr>
      <w:r>
        <w:t>Discussion</w:t>
      </w:r>
    </w:p>
    <w:p w14:paraId="5C875555" w14:textId="77777777" w:rsidR="00397FF1" w:rsidRDefault="00000000">
      <w:pPr>
        <w:pStyle w:val="Heading2"/>
      </w:pPr>
      <w:r>
        <w:t>A. Where Quantum Wins, Where Classical Wins</w:t>
      </w:r>
    </w:p>
    <w:p w14:paraId="4EE18534" w14:textId="77777777" w:rsidR="00397FF1" w:rsidRDefault="00000000">
      <w:pPr>
        <w:pStyle w:val="BodyText"/>
      </w:pPr>
      <w:r>
        <w:t xml:space="preserve">Quantum wins on workloads with intrinsically quantum structure: molecular Hamiltonians whose state spaces grow as 2^n with the number of qubits </w:t>
      </w:r>
      <w:hyperlink w:anchor="ref28" w:history="1">
        <w:r>
          <w:t>[28]</w:t>
        </w:r>
      </w:hyperlink>
      <w:r>
        <w:t xml:space="preserve">, </w:t>
      </w:r>
      <w:hyperlink w:anchor="ref29" w:history="1">
        <w:r>
          <w:t>[29]</w:t>
        </w:r>
      </w:hyperlink>
      <w:r>
        <w:t xml:space="preserve">, </w:t>
      </w:r>
      <w:hyperlink w:anchor="ref30" w:history="1">
        <w:r>
          <w:t>[30]</w:t>
        </w:r>
      </w:hyperlink>
      <w:r>
        <w:t xml:space="preserve">, or combinatorial graphs large enough that classical heuristics break down. Classical wins on tabular data with small feature dimensions, where decades of optimization in scikit-learn </w:t>
      </w:r>
      <w:hyperlink w:anchor="ref22" w:history="1">
        <w:r>
          <w:t>[22]</w:t>
        </w:r>
      </w:hyperlink>
      <w:r>
        <w:t xml:space="preserve"> and gradient-boosted ensembles cannot be matched by a 4-qubit kernel. The crossover is mathematical, not aspirational.</w:t>
      </w:r>
    </w:p>
    <w:p w14:paraId="3CC0083D" w14:textId="77777777" w:rsidR="00397FF1" w:rsidRDefault="00000000">
      <w:pPr>
        <w:pStyle w:val="Heading2"/>
      </w:pPr>
      <w:r>
        <w:t>B. Implications for Cloud Architects</w:t>
      </w:r>
    </w:p>
    <w:p w14:paraId="2E08D8AA" w14:textId="77777777" w:rsidR="00397FF1" w:rsidRDefault="00000000">
      <w:pPr>
        <w:pStyle w:val="BodyText"/>
      </w:pPr>
      <w:r>
        <w:t xml:space="preserve">Two practical lessons follow. First, do not pay for QPU when GPU does the job more cheaply—the cybersecurity numbers in Table IV are unambiguous. Second, do plan to pay for QPU when the classical RAM wall is approaching, as it is for any molecular simulation beyond ~30 qubits of active space </w:t>
      </w:r>
      <w:hyperlink w:anchor="ref29" w:history="1">
        <w:r>
          <w:t>[29]</w:t>
        </w:r>
      </w:hyperlink>
      <w:r>
        <w:t>. Use HERO to measure your specific workload before committing to a tier or a vendor.</w:t>
      </w:r>
    </w:p>
    <w:p w14:paraId="246CB6B2" w14:textId="77777777" w:rsidR="00397FF1" w:rsidRDefault="00000000">
      <w:pPr>
        <w:pStyle w:val="Heading1"/>
      </w:pPr>
      <w:r>
        <w:t>Limitations</w:t>
      </w:r>
    </w:p>
    <w:p w14:paraId="79A98255" w14:textId="77777777" w:rsidR="00397FF1" w:rsidRDefault="00000000">
      <w:pPr>
        <w:pStyle w:val="BodyText"/>
      </w:pPr>
      <w:r>
        <w:t xml:space="preserve">1) No real quantum hardware. All quantum experiments ran on Qiskit Aer </w:t>
      </w:r>
      <w:hyperlink w:anchor="ref25" w:history="1">
        <w:r>
          <w:t>[25]</w:t>
        </w:r>
      </w:hyperlink>
      <w:r>
        <w:t>, a noiseless simulator. Real Quantum Processing Units (QPUs) add gate errors and decoherence that would lower QSVM and VQE accuracy further.</w:t>
      </w:r>
    </w:p>
    <w:p w14:paraId="76F9F581" w14:textId="77777777" w:rsidR="00397FF1" w:rsidRDefault="00000000">
      <w:pPr>
        <w:pStyle w:val="BodyText"/>
      </w:pPr>
      <w:r>
        <w:t>2) Small quantum samples. QSVM kernel evaluation scales as O(n^2) circuits per training set, so we used 120 samples for the quantum path; H2 itself is only 2 active electrons and 4 qubits.</w:t>
      </w:r>
    </w:p>
    <w:p w14:paraId="6E4C552A" w14:textId="77777777" w:rsidR="00397FF1" w:rsidRDefault="00000000">
      <w:pPr>
        <w:pStyle w:val="BodyText"/>
      </w:pPr>
      <w:r>
        <w:t xml:space="preserve">3) Dataset choice. KDD Cup 99 </w:t>
      </w:r>
      <w:hyperlink w:anchor="ref26" w:history="1">
        <w:r>
          <w:t>[26]</w:t>
        </w:r>
      </w:hyperlink>
      <w:r>
        <w:t xml:space="preserve"> dates from 1999. Future work will extend HERO to Network-based Botnet attacks on IoT devices (N-BaIoT) and to NSL-KDD </w:t>
      </w:r>
      <w:hyperlink w:anchor="ref27" w:history="1">
        <w:r>
          <w:t>[27]</w:t>
        </w:r>
      </w:hyperlink>
      <w:r>
        <w:t>.</w:t>
      </w:r>
    </w:p>
    <w:p w14:paraId="016C1D7B" w14:textId="77777777" w:rsidR="00397FF1" w:rsidRDefault="00000000">
      <w:pPr>
        <w:pStyle w:val="BodyText"/>
      </w:pPr>
      <w:r>
        <w:t xml:space="preserve">4) We measure cost, not new algorithms—we use existing QSVM </w:t>
      </w:r>
      <w:hyperlink w:anchor="ref6" w:history="1">
        <w:r>
          <w:t>[6]</w:t>
        </w:r>
      </w:hyperlink>
      <w:r>
        <w:t xml:space="preserve">, QAOA </w:t>
      </w:r>
      <w:hyperlink w:anchor="ref5" w:history="1">
        <w:r>
          <w:t>[5]</w:t>
        </w:r>
      </w:hyperlink>
      <w:r>
        <w:t xml:space="preserve">, Grover </w:t>
      </w:r>
      <w:hyperlink w:anchor="ref4" w:history="1">
        <w:r>
          <w:t>[4]</w:t>
        </w:r>
      </w:hyperlink>
      <w:r>
        <w:t xml:space="preserve">, and VQE </w:t>
      </w:r>
      <w:hyperlink w:anchor="ref28" w:history="1">
        <w:r>
          <w:t>[28]</w:t>
        </w:r>
      </w:hyperlink>
      <w:r>
        <w:t xml:space="preserve"> exactly as published, and measure their cost on this stack.</w:t>
      </w:r>
    </w:p>
    <w:p w14:paraId="2BB3967B" w14:textId="77777777" w:rsidR="00397FF1" w:rsidRDefault="00000000">
      <w:pPr>
        <w:pStyle w:val="BodyText"/>
      </w:pPr>
      <w:r>
        <w:t>5) Energy model uses tier averages, not Running Average Power Limit (RAPL) or NVIDIA Management Library (NVML) telemetry. Live telemetry is a near-term extension.</w:t>
      </w:r>
    </w:p>
    <w:p w14:paraId="23A0B943" w14:textId="77777777" w:rsidR="00397FF1" w:rsidRDefault="00000000">
      <w:pPr>
        <w:pStyle w:val="BodyText"/>
      </w:pPr>
      <w:r>
        <w:t xml:space="preserve">6) Cloud pricing snapshot. The pricing in Table III is a snapshot from April 2026 </w:t>
      </w:r>
      <w:hyperlink w:anchor="ref31" w:history="1">
        <w:r>
          <w:t>[31]</w:t>
        </w:r>
      </w:hyperlink>
      <w:r>
        <w:t xml:space="preserve">, </w:t>
      </w:r>
      <w:hyperlink w:anchor="ref32" w:history="1">
        <w:r>
          <w:t>[32]</w:t>
        </w:r>
      </w:hyperlink>
      <w:r>
        <w:t>; vendor competition will change these numbers, and the framework allows the analysis to be re-run as prices move.</w:t>
      </w:r>
    </w:p>
    <w:p w14:paraId="67F016BE" w14:textId="77777777" w:rsidR="00397FF1" w:rsidRDefault="00000000">
      <w:pPr>
        <w:pStyle w:val="Heading1"/>
      </w:pPr>
      <w:r>
        <w:t>Conclusion</w:t>
      </w:r>
    </w:p>
    <w:p w14:paraId="00A55F97" w14:textId="77777777" w:rsidR="00397FF1" w:rsidRDefault="00000000">
      <w:pPr>
        <w:pStyle w:val="BodyText"/>
      </w:pPr>
      <w:r>
        <w:t>We built Heterogeneous Energy-aware Runtime Orchestrator (HERO), a measurement framework for cloud Quantum-Artificial Intelligence (AI) workloads that records cost, energy, and latency across CPU, GPU, and QPU tiers under a single methodology.</w:t>
      </w:r>
    </w:p>
    <w:p w14:paraId="6350D681" w14:textId="77777777" w:rsidR="00397FF1" w:rsidRDefault="00000000">
      <w:pPr>
        <w:pStyle w:val="BodyText"/>
      </w:pPr>
      <w:r>
        <w:t xml:space="preserve">We tested HERO on two contrasting workloads. For cybersecurity intrusion detection on KDD Cup 99 </w:t>
      </w:r>
      <w:hyperlink w:anchor="ref26" w:history="1">
        <w:r>
          <w:t>[26]</w:t>
        </w:r>
      </w:hyperlink>
      <w:r>
        <w:t xml:space="preserve">, classical methods win by approximately 10,000× in energy ($1.99 versus $2.1M per million classifications). For molecular ground-state estimation of H2 via the Variational Quantum Eigensolver (VQE) </w:t>
      </w:r>
      <w:hyperlink w:anchor="ref28" w:history="1">
        <w:r>
          <w:t>[28]</w:t>
        </w:r>
      </w:hyperlink>
      <w:r>
        <w:t>, classical exact diagonalization wins today by 854,000×, but only quantum scales beyond roughly 30 qubits of active space because the classical option requires O(2^n) RAM.</w:t>
      </w:r>
    </w:p>
    <w:p w14:paraId="2F420AFA" w14:textId="77777777" w:rsidR="00397FF1" w:rsidRDefault="00000000">
      <w:pPr>
        <w:pStyle w:val="BodyText"/>
      </w:pPr>
      <w:r>
        <w:t>From these measurements HERO derives a workload-aware allocation rule (Algorithm 1) that maps workload type and size to the optimal cloud tier. The same framework works for any workload, so researchers and cloud architects can re-measure as hardware improves and prices change. The key insight is that quantum is neither always better nor always worse: the right question is which tier for which workload, and that is the question HERO answers.</w:t>
      </w:r>
    </w:p>
    <w:p w14:paraId="13ABDE48" w14:textId="77777777" w:rsidR="00397FF1" w:rsidRDefault="00000000">
      <w:pPr>
        <w:pStyle w:val="Heading1"/>
      </w:pPr>
      <w:r>
        <w:t>Acknowledgment</w:t>
      </w:r>
    </w:p>
    <w:p w14:paraId="437B323E" w14:textId="77777777" w:rsidR="00397FF1" w:rsidRDefault="00000000">
      <w:pPr>
        <w:pStyle w:val="BodyText"/>
      </w:pPr>
      <w:r>
        <w:t>The author thanks the anonymous reviewers for feedback that improved the experimental methodology and the cross-workload framing of the results.</w:t>
      </w:r>
    </w:p>
    <w:p w14:paraId="6843564D" w14:textId="77777777" w:rsidR="00397FF1" w:rsidRDefault="00000000">
      <w:pPr>
        <w:pStyle w:val="Heading1"/>
      </w:pPr>
      <w:r>
        <w:t>References</w:t>
      </w:r>
    </w:p>
    <w:p w14:paraId="7A52C9BF" w14:textId="77777777" w:rsidR="00397FF1" w:rsidRDefault="00000000">
      <w:pPr>
        <w:pStyle w:val="references"/>
      </w:pPr>
      <w:bookmarkStart w:id="0" w:name="ref1"/>
      <w:r>
        <w:t>[1] M. A. Nielsen and I. L. Chuang, Quantum Computation and Quantum Information, 10th ed. Cambridge, U.K.: Cambridge Univ. Press, 2010.</w:t>
      </w:r>
      <w:bookmarkEnd w:id="0"/>
    </w:p>
    <w:p w14:paraId="5512954D" w14:textId="77777777" w:rsidR="00397FF1" w:rsidRDefault="00000000">
      <w:pPr>
        <w:pStyle w:val="references"/>
      </w:pPr>
      <w:bookmarkStart w:id="1" w:name="ref2"/>
      <w:r>
        <w:t>[2] J. Preskill, “Quantum computing in the NISQ era and beyond,” Quantum, vol. 2, p. 79, Aug. 2018, doi: 10.22331/q-2018-08-06-79.</w:t>
      </w:r>
      <w:bookmarkEnd w:id="1"/>
    </w:p>
    <w:p w14:paraId="44F6A0FC" w14:textId="77777777" w:rsidR="00397FF1" w:rsidRDefault="00000000">
      <w:pPr>
        <w:pStyle w:val="references"/>
      </w:pPr>
      <w:bookmarkStart w:id="2" w:name="ref3"/>
      <w:r>
        <w:t>[3] F. Arute et al., “Quantum supremacy using a programmable superconducting processor,” Nature, vol. 574, no. 7779, pp. 505–510, Oct. 2019, doi: 10.1038/s41586-019-1666-5.</w:t>
      </w:r>
      <w:bookmarkEnd w:id="2"/>
    </w:p>
    <w:p w14:paraId="448AC09C" w14:textId="77777777" w:rsidR="00397FF1" w:rsidRDefault="00000000">
      <w:pPr>
        <w:pStyle w:val="references"/>
      </w:pPr>
      <w:bookmarkStart w:id="3" w:name="ref4"/>
      <w:r>
        <w:t>[4] K. Bharti et al., “Noisy intermediate-scale quantum algorithms,” Rev. Mod. Phys., vol. 94, no. 1, art. 015004, Feb. 2022, doi: 10.1103/RevModPhys.94.015004.</w:t>
      </w:r>
      <w:bookmarkEnd w:id="3"/>
    </w:p>
    <w:p w14:paraId="1A0BEB14" w14:textId="77777777" w:rsidR="00397FF1" w:rsidRDefault="00000000">
      <w:pPr>
        <w:pStyle w:val="references"/>
      </w:pPr>
      <w:bookmarkStart w:id="4" w:name="ref5"/>
      <w:r>
        <w:t>[5] J. Biamonte, P. Wittek, N. Pancotti, P. Rebentrost, N. Wiebe, and S. Lloyd, “Quantum machine learning,” Nature, vol. 549, no. 7671, pp. 195–202, Sep. 2017, doi: 10.1038/nature23474.</w:t>
      </w:r>
      <w:bookmarkEnd w:id="4"/>
    </w:p>
    <w:p w14:paraId="56461FE7" w14:textId="77777777" w:rsidR="00397FF1" w:rsidRDefault="00000000">
      <w:pPr>
        <w:pStyle w:val="references"/>
      </w:pPr>
      <w:bookmarkStart w:id="5" w:name="ref6"/>
      <w:r>
        <w:t>[6] V. Havlicek, A. D. Corcoles, K. Temme, A. W. Harrow, A. Kandala, J. M. Chow, and J. M. Gambetta, “Supervised learning with quantum-enhanced feature spaces,” Nature, vol. 567, no. 7747, pp. 209–212, Mar. 2019, doi: 10.1038/s41586-019-0980-2.</w:t>
      </w:r>
      <w:bookmarkEnd w:id="5"/>
    </w:p>
    <w:p w14:paraId="5B42BF40" w14:textId="77777777" w:rsidR="00397FF1" w:rsidRDefault="00000000">
      <w:pPr>
        <w:pStyle w:val="references"/>
      </w:pPr>
      <w:bookmarkStart w:id="6" w:name="ref7"/>
      <w:r>
        <w:t>[7] M. Schuld and N. Killoran, “Quantum machine learning in feature Hilbert spaces,” Phys. Rev. Lett., vol. 122, no. 4, art. 040504, Feb. 2019, doi: 10.1103/PhysRevLett.122.040504.</w:t>
      </w:r>
      <w:bookmarkEnd w:id="6"/>
    </w:p>
    <w:p w14:paraId="2AAFEE64" w14:textId="77777777" w:rsidR="00397FF1" w:rsidRDefault="00000000">
      <w:pPr>
        <w:pStyle w:val="references"/>
      </w:pPr>
      <w:bookmarkStart w:id="7" w:name="ref8"/>
      <w:r>
        <w:t>[8] H.-Y. Huang, M. Broughton, M. Mohseni, R. Babbush, S. Boixo, H. Neven, and J. R. McClean, “Power of data in quantum machine learning,” Nature Commun., vol. 12, no. 1, art. 2631, May 2021, doi: 10.1038/s41467-021-22539-9.</w:t>
      </w:r>
      <w:bookmarkEnd w:id="7"/>
    </w:p>
    <w:p w14:paraId="3A593AA2" w14:textId="77777777" w:rsidR="00397FF1" w:rsidRDefault="00000000">
      <w:pPr>
        <w:pStyle w:val="references"/>
      </w:pPr>
      <w:bookmarkStart w:id="8" w:name="ref9"/>
      <w:r>
        <w:t>[9] E. Farhi, J. Goldstone, and S. Gutmann, “A quantum approximate optimization algorithm,” arXiv:1411.4028, Nov. 2014.</w:t>
      </w:r>
      <w:bookmarkEnd w:id="8"/>
    </w:p>
    <w:p w14:paraId="0C2B3D8F" w14:textId="77777777" w:rsidR="00397FF1" w:rsidRDefault="00000000">
      <w:pPr>
        <w:pStyle w:val="references"/>
      </w:pPr>
      <w:bookmarkStart w:id="9" w:name="ref10"/>
      <w:r>
        <w:t>[10] M. Cerezo et al., “Variational quantum algorithms,” Nature Rev. Phys., vol. 3, no. 9, pp. 625–644, Sep. 2021, doi: 10.1038/s42254-021-00348-9.</w:t>
      </w:r>
      <w:bookmarkEnd w:id="9"/>
    </w:p>
    <w:p w14:paraId="71E54F38" w14:textId="77777777" w:rsidR="00397FF1" w:rsidRDefault="00000000">
      <w:pPr>
        <w:pStyle w:val="references"/>
      </w:pPr>
      <w:bookmarkStart w:id="10" w:name="ref11"/>
      <w:r>
        <w:t>[11] L. Zhou, S.-T. Wang, S. Choi, H. Pichler, and M. D. Lukin, “Quantum approximate optimization algorithm: Performance, mechanism, and implementation on near-term devices,” Phys. Rev. X, vol. 10, no. 2, art. 021067, Jun. 2020, doi: 10.1103/PhysRevX.10.021067.</w:t>
      </w:r>
      <w:bookmarkEnd w:id="10"/>
    </w:p>
    <w:p w14:paraId="051D00FF" w14:textId="77777777" w:rsidR="00397FF1" w:rsidRDefault="00000000">
      <w:pPr>
        <w:pStyle w:val="references"/>
      </w:pPr>
      <w:bookmarkStart w:id="11" w:name="ref12"/>
      <w:r>
        <w:t>[12] L. K. Grover, “A fast quantum mechanical algorithm for database search,” in Proc. 28th Annu. ACM Symp. Theory Comput. (STOC), Philadelphia, PA, USA, May 1996, pp. 212–219, doi: 10.1145/237814.237866.</w:t>
      </w:r>
      <w:bookmarkEnd w:id="11"/>
    </w:p>
    <w:p w14:paraId="44BBEE9C" w14:textId="77777777" w:rsidR="00397FF1" w:rsidRDefault="00000000">
      <w:pPr>
        <w:pStyle w:val="references"/>
      </w:pPr>
      <w:bookmarkStart w:id="12" w:name="ref13"/>
      <w:r>
        <w:t>[13] M. Grassl, B. Langenberg, M. Roetteler, and R. Steinwandt, “Applying Grover’s algorithm to AES: Quantum resource estimates,” in Proc. 7th Int. Workshop Post-Quantum Cryptography (PQCrypto), LNCS 9606. Cham, Switzerland: Springer, 2016, pp. 29–43, doi: 10.1007/978-3-319-29360-8_3.</w:t>
      </w:r>
      <w:bookmarkEnd w:id="12"/>
    </w:p>
    <w:p w14:paraId="78BDA472" w14:textId="77777777" w:rsidR="00397FF1" w:rsidRDefault="00000000">
      <w:pPr>
        <w:pStyle w:val="references"/>
      </w:pPr>
      <w:bookmarkStart w:id="13" w:name="ref14"/>
      <w:r>
        <w:t>[14] J. R. McClean, J. Romero, R. Babbush, and A. Aspuru-Guzik, “The theory of variational hybrid quantum-classical algorithms,” New J. Phys., vol. 18, no. 2, art. 023023, Feb. 2016, doi: 10.1088/1367-2630/18/2/023023.</w:t>
      </w:r>
      <w:bookmarkEnd w:id="13"/>
    </w:p>
    <w:p w14:paraId="1E5A9816" w14:textId="77777777" w:rsidR="00397FF1" w:rsidRDefault="00000000">
      <w:pPr>
        <w:pStyle w:val="references"/>
      </w:pPr>
      <w:bookmarkStart w:id="14" w:name="ref15"/>
      <w:r>
        <w:t>[15] A. Callison and N. Chancellor, “Hybrid quantum-classical algorithms in the noisy intermediate-scale quantum era and beyond,” Phys. Rev. A, vol. 106, no. 1, art. 010101, Jul. 2022, doi: 10.1103/PhysRevA.106.010101.</w:t>
      </w:r>
      <w:bookmarkEnd w:id="14"/>
    </w:p>
    <w:p w14:paraId="14894269" w14:textId="77777777" w:rsidR="00397FF1" w:rsidRDefault="00000000">
      <w:pPr>
        <w:pStyle w:val="references"/>
      </w:pPr>
      <w:bookmarkStart w:id="15" w:name="ref16"/>
      <w:r>
        <w:t>[16] T. S. Humble, A. McCaskey, D. I. Lyakh, M. Gowrishankar, A. Frisch, and T. Monz, “Quantum computers for high-performance computing,” IEEE Micro, vol. 41, no. 5, pp. 15–23, Sep./Oct. 2021, doi: 10.1109/MM.2021.3099140.</w:t>
      </w:r>
      <w:bookmarkEnd w:id="15"/>
    </w:p>
    <w:p w14:paraId="70C57562" w14:textId="77777777" w:rsidR="00397FF1" w:rsidRDefault="00000000">
      <w:pPr>
        <w:pStyle w:val="references"/>
      </w:pPr>
      <w:bookmarkStart w:id="16" w:name="ref17"/>
      <w:r>
        <w:t>[17] H. Suryotrisongko and Y. Musashi, “Review of cybersecurity research topics, taxonomy and challenges: Interdisciplinary perspective,” in Proc. IEEE 16th Int. Conf. e-Business Engineering (ICEBE), Shanghai, China, Oct. 2019, pp. 162–167, doi: 10.1109/ICEBE.2019.00038.</w:t>
      </w:r>
      <w:bookmarkEnd w:id="16"/>
    </w:p>
    <w:p w14:paraId="62351621" w14:textId="77777777" w:rsidR="00397FF1" w:rsidRDefault="00000000">
      <w:pPr>
        <w:pStyle w:val="references"/>
      </w:pPr>
      <w:bookmarkStart w:id="17" w:name="ref18"/>
      <w:r>
        <w:t>[18] E. Payares and J. C. Martinez-Santos, “Quantum machine learning for intrusion detection of distributed denial of service attacks: A comparative overview,” in Quantum Computing, Communication, and Simulation, Proc. SPIE, vol. 11699, pp. 35–49, Mar. 2021, doi: 10.1117/12.2593297.</w:t>
      </w:r>
      <w:bookmarkEnd w:id="17"/>
    </w:p>
    <w:p w14:paraId="299ECEA0" w14:textId="77777777" w:rsidR="00397FF1" w:rsidRDefault="00000000">
      <w:pPr>
        <w:pStyle w:val="references"/>
      </w:pPr>
      <w:bookmarkStart w:id="18" w:name="ref19"/>
      <w:r>
        <w:t>[19] N. Kilber, D. Kaestle, and S. Wagner, “Cybersecurity for quantum computing,” arXiv:2110.14701, Oct. 2021.</w:t>
      </w:r>
      <w:bookmarkEnd w:id="18"/>
    </w:p>
    <w:p w14:paraId="4C699369" w14:textId="77777777" w:rsidR="00397FF1" w:rsidRDefault="00000000">
      <w:pPr>
        <w:pStyle w:val="references"/>
      </w:pPr>
      <w:bookmarkStart w:id="19" w:name="ref20"/>
      <w:r>
        <w:t>[20] M. Tavallaee, E. Bagheri, W. Lu, and A. A. Ghorbani, “A detailed analysis of the KDD CUP 99 data set,” in Proc. IEEE Symp. Comput. Intell. Security Defense Appl. (CISDA), Ottawa, ON, Canada, Jul. 2009, pp. 53–58, doi: 10.1109/CISDA.2009.5356528.</w:t>
      </w:r>
      <w:bookmarkEnd w:id="19"/>
    </w:p>
    <w:p w14:paraId="09490155" w14:textId="77777777" w:rsidR="00397FF1" w:rsidRDefault="00000000">
      <w:pPr>
        <w:pStyle w:val="references"/>
      </w:pPr>
      <w:bookmarkStart w:id="20" w:name="ref21"/>
      <w:r>
        <w:t>[21] I. Sharafaldin, A. H. Lashkari, and A. A. Ghorbani, “Toward generating a new intrusion detection dataset and intrusion traffic characterization,” in Proc. 4th Int. Conf. Inf. Syst. Secur. Privacy (ICISSP), Funchal, Portugal, Jan. 2018, pp. 108–116, doi: 10.5220/0006639801080116.</w:t>
      </w:r>
      <w:bookmarkEnd w:id="20"/>
    </w:p>
    <w:p w14:paraId="50C4D9B8" w14:textId="77777777" w:rsidR="00397FF1" w:rsidRDefault="00000000">
      <w:pPr>
        <w:pStyle w:val="references"/>
      </w:pPr>
      <w:bookmarkStart w:id="21" w:name="ref22"/>
      <w:r>
        <w:t>[22] C. Cortes and V. Vapnik, “Support-vector networks,” Mach. Learn., vol. 20, no. 3, pp. 273–297, Sep. 1995, doi: 10.1007/BF00994018.</w:t>
      </w:r>
      <w:bookmarkEnd w:id="21"/>
    </w:p>
    <w:p w14:paraId="2AE13865" w14:textId="77777777" w:rsidR="00397FF1" w:rsidRDefault="00000000">
      <w:pPr>
        <w:pStyle w:val="references"/>
      </w:pPr>
      <w:bookmarkStart w:id="22" w:name="ref23"/>
      <w:r>
        <w:t>[23] A. Auffeves, “Quantum technologies need a quantum energy initiative,” PRX Quantum, vol. 3, no. 2, art. 020101, May 2022, doi: 10.1103/PRXQuantum.3.020101.</w:t>
      </w:r>
      <w:bookmarkEnd w:id="22"/>
    </w:p>
    <w:p w14:paraId="1D3D3849" w14:textId="77777777" w:rsidR="00397FF1" w:rsidRDefault="00000000">
      <w:pPr>
        <w:pStyle w:val="references"/>
      </w:pPr>
      <w:bookmarkStart w:id="23" w:name="ref24"/>
      <w:r>
        <w:t>[24] E. Strubell, A. Ganesh, and A. McCallum, “Energy and policy considerations for deep learning in NLP,” in Proc. 57th Annu. Meeting Assoc. Comput. Linguistics (ACL), Florence, Italy, Jul. 2019, pp. 3645–3650, doi: 10.18653/v1/P19-1355.</w:t>
      </w:r>
      <w:bookmarkEnd w:id="23"/>
    </w:p>
    <w:p w14:paraId="50A507D5" w14:textId="77777777" w:rsidR="00397FF1" w:rsidRDefault="00000000">
      <w:pPr>
        <w:pStyle w:val="references"/>
      </w:pPr>
      <w:bookmarkStart w:id="24" w:name="ref25"/>
      <w:r>
        <w:t>[25] Qiskit contributors, “Qiskit: An open-source framework for quantum computing,” Zenodo, 2023, doi: 10.5281/zenodo.2573505.</w:t>
      </w:r>
      <w:bookmarkEnd w:id="24"/>
    </w:p>
    <w:p w14:paraId="662A62E0" w14:textId="77777777" w:rsidR="00397FF1" w:rsidRDefault="00000000">
      <w:pPr>
        <w:pStyle w:val="references"/>
      </w:pPr>
      <w:bookmarkStart w:id="25" w:name="ref26"/>
      <w:r>
        <w:t>[26] M. Tavallaee, E. Bagheri, W. Lu, and A. Ghorbani, “A detailed analysis of the KDD CUP 99 data set,” in Proc. IEEE Symp. CISDA, Ottawa, Canada, Jul. 2009, pp. 1–6, doi: 10.1109/CISDA.2009.5356528.</w:t>
      </w:r>
      <w:bookmarkEnd w:id="25"/>
    </w:p>
    <w:p w14:paraId="032005D1" w14:textId="77777777" w:rsidR="00397FF1" w:rsidRDefault="00000000">
      <w:pPr>
        <w:pStyle w:val="references"/>
      </w:pPr>
      <w:bookmarkStart w:id="26" w:name="ref27"/>
      <w:r>
        <w:t>[27] S. Revathi and A. Malathi, “A detailed analysis on NSL-KDD dataset using various machine learning techniques for intrusion detection,” Int. J. Eng. Res. Technol., vol. 2, no. 12, pp. 1848–1853, Dec. 2013.</w:t>
      </w:r>
      <w:bookmarkEnd w:id="26"/>
    </w:p>
    <w:p w14:paraId="7E8BDF9D" w14:textId="77777777" w:rsidR="00397FF1" w:rsidRDefault="00000000">
      <w:pPr>
        <w:pStyle w:val="references"/>
      </w:pPr>
      <w:bookmarkStart w:id="27" w:name="ref28"/>
      <w:r>
        <w:t>[28] A. Peruzzo et al., “A variational eigenvalue solver on a photonic quantum processor,” Nature Communications, vol. 5, no. 1, art. 4213, Jul. 2014, doi: 10.1038/ncomms5213.</w:t>
      </w:r>
      <w:bookmarkEnd w:id="27"/>
    </w:p>
    <w:p w14:paraId="570E8F2F" w14:textId="77777777" w:rsidR="00397FF1" w:rsidRDefault="00000000">
      <w:pPr>
        <w:pStyle w:val="references"/>
      </w:pPr>
      <w:bookmarkStart w:id="28" w:name="ref29"/>
      <w:r>
        <w:t>[29] A. Kandala et al., “Hardware-efficient variational quantum eigensolver for small molecules and quantum magnets,” Nature, vol. 549, no. 7671, pp. 242–246, Sep. 2017, doi: 10.1038/nature23879.</w:t>
      </w:r>
      <w:bookmarkEnd w:id="28"/>
    </w:p>
    <w:p w14:paraId="6497E64C" w14:textId="77777777" w:rsidR="00397FF1" w:rsidRDefault="00000000">
      <w:pPr>
        <w:pStyle w:val="references"/>
      </w:pPr>
      <w:bookmarkStart w:id="29" w:name="ref30"/>
      <w:r>
        <w:t>[30] Y. Cao et al., “Quantum chemistry in the age of quantum computing,” Chemical Reviews, vol. 119, no. 19, pp. 10856–10915, Oct. 2019, doi: 10.1021/acs.chemrev.8b00803.</w:t>
      </w:r>
      <w:bookmarkEnd w:id="29"/>
    </w:p>
    <w:p w14:paraId="326AE4DA" w14:textId="77777777" w:rsidR="00397FF1" w:rsidRDefault="00000000">
      <w:pPr>
        <w:pStyle w:val="references"/>
      </w:pPr>
      <w:bookmarkStart w:id="30" w:name="ref31"/>
      <w:r>
        <w:t>[31] Amazon Web Services, “Amazon Braket pricing,” AWS, 2026. [Online]. Available: https://aws.amazon.com/braket/pricing/</w:t>
      </w:r>
      <w:bookmarkEnd w:id="30"/>
    </w:p>
    <w:p w14:paraId="49DA409C" w14:textId="77777777" w:rsidR="00397FF1" w:rsidRDefault="00000000">
      <w:pPr>
        <w:pStyle w:val="references"/>
      </w:pPr>
      <w:bookmarkStart w:id="31" w:name="ref32"/>
      <w:r>
        <w:t>[32] IBM Corporation, “IBM Quantum pricing,” IBM, 2026. [Online]. Available: https://www.ibm.com/quantum/pricing</w:t>
      </w:r>
      <w:bookmarkEnd w:id="31"/>
    </w:p>
    <w:p w14:paraId="54ED6A1A" w14:textId="77777777" w:rsidR="00397FF1" w:rsidRDefault="00397FF1">
      <w:pPr>
        <w:sectPr w:rsidR="00397FF1">
          <w:type w:val="continuous"/>
          <w:pgSz w:w="612pt" w:h="792pt" w:code="1"/>
          <w:pgMar w:top="54pt" w:right="44.65pt" w:bottom="72pt" w:left="44.65pt" w:header="36pt" w:footer="36pt" w:gutter="0pt"/>
          <w:cols w:num="2" w:space="14.40pt"/>
          <w:docGrid w:linePitch="360"/>
        </w:sectPr>
      </w:pPr>
    </w:p>
    <w:p w14:paraId="540CA1BC" w14:textId="77777777" w:rsidR="00746C49" w:rsidRDefault="00746C49"/>
    <w:sectPr w:rsidR="00746C49">
      <w:pgSz w:w="612pt" w:h="792pt"/>
      <w:pgMar w:top="72pt" w:right="72pt" w:bottom="72pt" w:left="72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7D86C9FA" w14:textId="77777777" w:rsidR="00746C49" w:rsidRDefault="00746C49" w:rsidP="001A3B3D">
      <w:r>
        <w:separator/>
      </w:r>
    </w:p>
  </w:endnote>
  <w:endnote w:type="continuationSeparator" w:id="0">
    <w:p w14:paraId="03F21096" w14:textId="77777777" w:rsidR="00746C49" w:rsidRDefault="00746C49"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alibri Light">
    <w:panose1 w:val="020F0302020204030204"/>
    <w:charset w:characterSet="iso-8859-1"/>
    <w:family w:val="swiss"/>
    <w:pitch w:val="variable"/>
    <w:sig w:usb0="E4002EFF" w:usb1="C200247B" w:usb2="00000009" w:usb3="00000000" w:csb0="000001FF" w:csb1="00000000"/>
  </w:font>
  <w:font w:name="Calibri">
    <w:panose1 w:val="020F0502020204030204"/>
    <w:charset w:characterSet="iso-8859-1"/>
    <w:family w:val="swiss"/>
    <w:pitch w:val="variable"/>
    <w:sig w:usb0="E4002EFF" w:usb1="C200247B" w:usb2="00000009" w:usb3="00000000" w:csb0="000001FF" w:csb1="00000000"/>
  </w:font>
</w:fonts>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760299CF" w14:textId="77777777" w:rsidR="00746C49" w:rsidRDefault="00746C49" w:rsidP="001A3B3D">
      <w:r>
        <w:separator/>
      </w:r>
    </w:p>
  </w:footnote>
  <w:footnote w:type="continuationSeparator" w:id="0">
    <w:p w14:paraId="3B89C22B" w14:textId="77777777" w:rsidR="00746C49" w:rsidRDefault="00746C49"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940377641">
    <w:abstractNumId w:val="14"/>
  </w:num>
  <w:num w:numId="2" w16cid:durableId="1397439891">
    <w:abstractNumId w:val="19"/>
  </w:num>
  <w:num w:numId="3" w16cid:durableId="539585121">
    <w:abstractNumId w:val="13"/>
  </w:num>
  <w:num w:numId="4" w16cid:durableId="1505513160">
    <w:abstractNumId w:val="16"/>
  </w:num>
  <w:num w:numId="5" w16cid:durableId="978925957">
    <w:abstractNumId w:val="16"/>
  </w:num>
  <w:num w:numId="6" w16cid:durableId="1721400726">
    <w:abstractNumId w:val="16"/>
  </w:num>
  <w:num w:numId="7" w16cid:durableId="687826470">
    <w:abstractNumId w:val="16"/>
  </w:num>
  <w:num w:numId="8" w16cid:durableId="143812469">
    <w:abstractNumId w:val="18"/>
  </w:num>
  <w:num w:numId="9" w16cid:durableId="1364867722">
    <w:abstractNumId w:val="20"/>
  </w:num>
  <w:num w:numId="10" w16cid:durableId="2029989048">
    <w:abstractNumId w:val="15"/>
  </w:num>
  <w:num w:numId="11" w16cid:durableId="642739898">
    <w:abstractNumId w:val="12"/>
  </w:num>
  <w:num w:numId="12" w16cid:durableId="1272741182">
    <w:abstractNumId w:val="11"/>
  </w:num>
  <w:num w:numId="13" w16cid:durableId="851069540">
    <w:abstractNumId w:val="0"/>
  </w:num>
  <w:num w:numId="14" w16cid:durableId="529344390">
    <w:abstractNumId w:val="10"/>
  </w:num>
  <w:num w:numId="15" w16cid:durableId="894972538">
    <w:abstractNumId w:val="8"/>
  </w:num>
  <w:num w:numId="16" w16cid:durableId="1023093075">
    <w:abstractNumId w:val="7"/>
  </w:num>
  <w:num w:numId="17" w16cid:durableId="1951620780">
    <w:abstractNumId w:val="6"/>
  </w:num>
  <w:num w:numId="18" w16cid:durableId="1765606468">
    <w:abstractNumId w:val="5"/>
  </w:num>
  <w:num w:numId="19" w16cid:durableId="409623909">
    <w:abstractNumId w:val="9"/>
  </w:num>
  <w:num w:numId="20" w16cid:durableId="1936084648">
    <w:abstractNumId w:val="4"/>
  </w:num>
  <w:num w:numId="21" w16cid:durableId="146483437">
    <w:abstractNumId w:val="3"/>
  </w:num>
  <w:num w:numId="22" w16cid:durableId="1467505995">
    <w:abstractNumId w:val="2"/>
  </w:num>
  <w:num w:numId="23" w16cid:durableId="1408696933">
    <w:abstractNumId w:val="1"/>
  </w:num>
  <w:num w:numId="24" w16cid:durableId="1366640472">
    <w:abstractNumId w:val="17"/>
  </w:num>
  <w:num w:numId="25" w16cid:durableId="1917282883">
    <w:abstractNumId w:val="18"/>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proofState w:spelling="clean"/>
  <w:defaultTabStop w:val="36pt"/>
  <w:doNotHyphenateCaps/>
  <w:characterSpacingControl w:val="doNotCompress"/>
  <w:savePreviewPicture/>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15079E"/>
    <w:rsid w:val="00156B74"/>
    <w:rsid w:val="001A2EFD"/>
    <w:rsid w:val="001A3B3D"/>
    <w:rsid w:val="001A42EA"/>
    <w:rsid w:val="001B67DC"/>
    <w:rsid w:val="001D7BCF"/>
    <w:rsid w:val="002254A9"/>
    <w:rsid w:val="00233D97"/>
    <w:rsid w:val="002850E3"/>
    <w:rsid w:val="00354FCF"/>
    <w:rsid w:val="00397FF1"/>
    <w:rsid w:val="003A19E2"/>
    <w:rsid w:val="00421EC6"/>
    <w:rsid w:val="004325FB"/>
    <w:rsid w:val="004432BA"/>
    <w:rsid w:val="0044407E"/>
    <w:rsid w:val="004D72B5"/>
    <w:rsid w:val="00547E73"/>
    <w:rsid w:val="00551B7F"/>
    <w:rsid w:val="0056610F"/>
    <w:rsid w:val="00575BCA"/>
    <w:rsid w:val="005B0344"/>
    <w:rsid w:val="005B520E"/>
    <w:rsid w:val="005E2800"/>
    <w:rsid w:val="006347CF"/>
    <w:rsid w:val="00645D22"/>
    <w:rsid w:val="00651A08"/>
    <w:rsid w:val="00654204"/>
    <w:rsid w:val="00670434"/>
    <w:rsid w:val="006B6B66"/>
    <w:rsid w:val="006F6D3D"/>
    <w:rsid w:val="00704134"/>
    <w:rsid w:val="00715BEA"/>
    <w:rsid w:val="00740EEA"/>
    <w:rsid w:val="00746C49"/>
    <w:rsid w:val="00794804"/>
    <w:rsid w:val="007B33F1"/>
    <w:rsid w:val="007C0308"/>
    <w:rsid w:val="007C2FF2"/>
    <w:rsid w:val="007D6232"/>
    <w:rsid w:val="007F1F99"/>
    <w:rsid w:val="007F768F"/>
    <w:rsid w:val="0080791D"/>
    <w:rsid w:val="00873603"/>
    <w:rsid w:val="008872B3"/>
    <w:rsid w:val="008A2C7D"/>
    <w:rsid w:val="008C4B23"/>
    <w:rsid w:val="008F6E2C"/>
    <w:rsid w:val="009303D9"/>
    <w:rsid w:val="00933C64"/>
    <w:rsid w:val="00972203"/>
    <w:rsid w:val="00A059B3"/>
    <w:rsid w:val="00A83751"/>
    <w:rsid w:val="00AE3409"/>
    <w:rsid w:val="00B11A60"/>
    <w:rsid w:val="00B22613"/>
    <w:rsid w:val="00BA1025"/>
    <w:rsid w:val="00BC3420"/>
    <w:rsid w:val="00BE7D3C"/>
    <w:rsid w:val="00BF5FF6"/>
    <w:rsid w:val="00C0207F"/>
    <w:rsid w:val="00C16117"/>
    <w:rsid w:val="00C3075A"/>
    <w:rsid w:val="00C76FFC"/>
    <w:rsid w:val="00C919A4"/>
    <w:rsid w:val="00CA4392"/>
    <w:rsid w:val="00CC393F"/>
    <w:rsid w:val="00D13749"/>
    <w:rsid w:val="00D2176E"/>
    <w:rsid w:val="00D632BE"/>
    <w:rsid w:val="00D72D06"/>
    <w:rsid w:val="00D7522C"/>
    <w:rsid w:val="00D7536F"/>
    <w:rsid w:val="00D76668"/>
    <w:rsid w:val="00E61E12"/>
    <w:rsid w:val="00E7596C"/>
    <w:rsid w:val="00E878F2"/>
    <w:rsid w:val="00ED0149"/>
    <w:rsid w:val="00EF7DE3"/>
    <w:rsid w:val="00F03103"/>
    <w:rsid w:val="00F12284"/>
    <w:rsid w:val="00F271DE"/>
    <w:rsid w:val="00F627DA"/>
    <w:rsid w:val="00F7288F"/>
    <w:rsid w:val="00F847A6"/>
    <w:rsid w:val="00F9441B"/>
    <w:rsid w:val="00F96569"/>
    <w:rsid w:val="00FA4C32"/>
    <w:rsid w:val="00FE081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0BB3EFF9"/>
  <w15:chartTrackingRefBased/>
  <w15:docId w15:val="{F70393F7-BE71-4745-A4B2-AE3F69CD35C9}"/>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character" w:styleId="Hyperlink">
    <w:name w:val="Hyperlink"/>
    <w:basedOn w:val="DefaultParagraphFont"/>
    <w:rsid w:val="00156B74"/>
    <w:rPr>
      <w:color w:val="0563C1" w:themeColor="hyperlink"/>
      <w:u w:val="single"/>
    </w:rPr>
  </w:style>
  <w:style w:type="character" w:styleId="UnresolvedMention">
    <w:name w:val="Unresolved Mention"/>
    <w:basedOn w:val="DefaultParagraphFont"/>
    <w:uiPriority w:val="99"/>
    <w:semiHidden/>
    <w:unhideWhenUsed/>
    <w:rsid w:val="00156B74"/>
    <w:rPr>
      <w:color w:val="605E5C"/>
      <w:shd w:val="clear" w:color="auto" w:fill="E1DFDD"/>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purl.oclc.org/ooxml/officeDocument/relationships/image" Target="media/image1.png"/><Relationship Id="rId13" Type="http://purl.oclc.org/ooxml/officeDocument/relationships/image" Target="media/image6.png"/><Relationship Id="rId18" Type="http://purl.oclc.org/ooxml/officeDocument/relationships/fontTable" Target="fontTable.xml"/><Relationship Id="rId3" Type="http://purl.oclc.org/ooxml/officeDocument/relationships/styles" Target="styles.xml"/><Relationship Id="rId7" Type="http://purl.oclc.org/ooxml/officeDocument/relationships/endnotes" Target="endnotes.xml"/><Relationship Id="rId12" Type="http://purl.oclc.org/ooxml/officeDocument/relationships/image" Target="media/image5.png"/><Relationship Id="rId17" Type="http://purl.oclc.org/ooxml/officeDocument/relationships/image" Target="media/image10.png"/><Relationship Id="rId2" Type="http://purl.oclc.org/ooxml/officeDocument/relationships/numbering" Target="numbering.xml"/><Relationship Id="rId16" Type="http://purl.oclc.org/ooxml/officeDocument/relationships/image" Target="media/image9.png"/><Relationship Id="rId1" Type="http://purl.oclc.org/ooxml/officeDocument/relationships/customXml" Target="../customXml/item1.xml"/><Relationship Id="rId6" Type="http://purl.oclc.org/ooxml/officeDocument/relationships/footnotes" Target="footnotes.xml"/><Relationship Id="rId11" Type="http://purl.oclc.org/ooxml/officeDocument/relationships/image" Target="media/image4.png"/><Relationship Id="rId5" Type="http://purl.oclc.org/ooxml/officeDocument/relationships/webSettings" Target="webSettings.xml"/><Relationship Id="rId15" Type="http://purl.oclc.org/ooxml/officeDocument/relationships/image" Target="media/image8.png"/><Relationship Id="rId10" Type="http://purl.oclc.org/ooxml/officeDocument/relationships/image" Target="media/image3.png"/><Relationship Id="rId19" Type="http://purl.oclc.org/ooxml/officeDocument/relationships/theme" Target="theme/theme1.xml"/><Relationship Id="rId4" Type="http://purl.oclc.org/ooxml/officeDocument/relationships/settings" Target="settings.xml"/><Relationship Id="rId9" Type="http://purl.oclc.org/ooxml/officeDocument/relationships/image" Target="media/image2.png"/><Relationship Id="rId14" Type="http://purl.oclc.org/ooxml/officeDocument/relationships/image" Target="media/image7.png"/></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174953BD-B001-433D-BAEA-84E6680CEBE7}">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8</TotalTime>
  <Pages>8</Pages>
  <Words>4192</Words>
  <Characters>23900</Characters>
  <Application>Microsoft Office Word</Application>
  <DocSecurity>0</DocSecurity>
  <Lines>199</Lines>
  <Paragraphs>56</Paragraphs>
  <ScaleCrop>false</ScaleCrop>
  <Company/>
  <LinksUpToDate>false</LinksUpToDate>
  <CharactersWithSpaces>28036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Nirmit Dagli</cp:lastModifiedBy>
  <cp:revision>2</cp:revision>
  <dcterms:created xsi:type="dcterms:W3CDTF">2026-04-26T19:17:00Z</dcterms:created>
  <dcterms:modified xsi:type="dcterms:W3CDTF">2026-04-26T19:25:00Z</dcterms:modified>
</cp:coreProperties>
</file>