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Game Marketing Performance</w:t>
      </w:r>
    </w:p>
    <w:p>
      <w:pPr>
        <w:jc w:val="left"/>
      </w:pPr>
      <w:r>
        <w:rPr>
          <w:b/>
          <w:sz w:val="24"/>
        </w:rPr>
        <w:t>Synthetic portfolio report for October 2025</w:t>
      </w:r>
    </w:p>
    <w:p>
      <w:r>
        <w:t>This report evaluates fictional paid acquisition campaigns by cost, player quality, retention and monetization. It demonstrates the analytical method without exposing any employer, client or production data.</w:t>
      </w:r>
    </w:p>
    <w:p>
      <w:pPr>
        <w:pStyle w:val="Heading1"/>
      </w:pPr>
      <w:r>
        <w:t>Executive summary</w:t>
      </w:r>
    </w:p>
    <w:p>
      <w:r>
        <w:t>The synthetic portfolio acquired 1,165 players and generated 15.7% return on ad spend. D7 retention was 9.2%. Social iOS B produced the strongest D7 retention, while Social iOS B produced the lowest cost per D7 retained player.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Acquired players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Tracking rate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D1 retention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D7 retention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ROAS</w:t>
            </w:r>
          </w:p>
        </w:tc>
      </w:tr>
      <w:tr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1,165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85.2%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24.7%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9.2%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15.7%</w:t>
            </w:r>
          </w:p>
        </w:tc>
      </w:tr>
    </w:tbl>
    <w:p>
      <w:pPr>
        <w:pStyle w:val="Heading1"/>
      </w:pPr>
      <w:r>
        <w:t>Portfolio retention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n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Retention uses exact return-day session activity and includes only cohorts mature enough to reach each day. Players without qualifying events remain visible in the tracking audit.</w:t>
      </w:r>
    </w:p>
    <w:p>
      <w:pPr>
        <w:pStyle w:val="Heading1"/>
      </w:pPr>
      <w:r>
        <w:t>Campaign economics and player quality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6"/>
              </w:rPr>
              <w:t>Life cycle</w:t>
            </w:r>
          </w:p>
        </w:tc>
        <w:tc>
          <w:tcPr>
            <w:tcW w:type="dxa" w:w="864"/>
            <w:shd w:fill="1F4E78"/>
          </w:tcPr>
          <w:p>
            <w:r>
              <w:rPr>
                <w:b/>
                <w:color w:val="FFFFFF"/>
                <w:sz w:val="16"/>
              </w:rPr>
              <w:t>Players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6"/>
              </w:rPr>
              <w:t>CPI</w:t>
            </w:r>
          </w:p>
        </w:tc>
        <w:tc>
          <w:tcPr>
            <w:tcW w:type="dxa" w:w="1152"/>
            <w:shd w:fill="1F4E78"/>
          </w:tcPr>
          <w:p>
            <w:r>
              <w:rPr>
                <w:b/>
                <w:color w:val="FFFFFF"/>
                <w:sz w:val="16"/>
              </w:rPr>
              <w:t>D7 retention</w:t>
            </w:r>
          </w:p>
        </w:tc>
        <w:tc>
          <w:tcPr>
            <w:tcW w:type="dxa" w:w="1296"/>
            <w:shd w:fill="1F4E78"/>
          </w:tcPr>
          <w:p>
            <w:r>
              <w:rPr>
                <w:b/>
                <w:color w:val="FFFFFF"/>
                <w:sz w:val="16"/>
              </w:rPr>
              <w:t>D7 retained cost</w:t>
            </w:r>
          </w:p>
        </w:tc>
        <w:tc>
          <w:tcPr>
            <w:tcW w:type="dxa" w:w="864"/>
            <w:shd w:fill="1F4E78"/>
          </w:tcPr>
          <w:p>
            <w:r>
              <w:rPr>
                <w:b/>
                <w:color w:val="FFFFFF"/>
                <w:sz w:val="16"/>
              </w:rPr>
              <w:t>ROAS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Social iOS B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$0.00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25.0%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$0.00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n/a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Search Android B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$0.21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21.4%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$1.00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47.1%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Search Android 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130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$2.79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15.6%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$30.23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34.1%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Game iOS 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245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$2.75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13.4%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$26.96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14.9%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Search Android E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103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$1.44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11.7%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$12.32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4.5%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Game iOS B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207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$1.12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11.3%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$14.48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25.7%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Social iOS C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177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$2.18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6.8%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$42.81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11.6%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Game Android E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$2.26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6.0%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$50.51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13.2%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Store iOS 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$13.00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5.6%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$234.08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6.8%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Game Android C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199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$0.98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1.5%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$65.26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0.3%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Game Android 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$0.97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0.0%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$n/a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Discovery iOS 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$n/a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$n/a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n/a</w:t>
            </w:r>
          </w:p>
        </w:tc>
      </w:tr>
    </w:tbl>
    <w:p>
      <w:pPr>
        <w:pStyle w:val="Heading2"/>
      </w:pPr>
      <w:r>
        <w:t>Campaign findings</w:t>
      </w:r>
    </w:p>
    <w:p>
      <w:r>
        <w:t>Quality leaders were Social iOS B, Search Android B. The strongest return signals came from Search Android B, Search Android A. Campaign decisions should combine scale, retained-user cost and return rather than optimize installs alone.</w:t>
      </w:r>
    </w:p>
    <w:p>
      <w:pPr>
        <w:pStyle w:val="Heading1"/>
      </w:pPr>
      <w:r>
        <w:t>Creative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00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ive_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Concept 20 generated the strongest completed-level signal among the synthetic creatives. Creative results should be treated as directional when eligible cohort sizes are small.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Use Social iOS B as the player-quality benchmark for the next controlled test.</w:t>
      </w:r>
    </w:p>
    <w:p>
      <w:pPr>
        <w:pStyle w:val="ListBullet"/>
      </w:pPr>
      <w:r>
        <w:t>Use Social iOS B as the efficiency comparison and monitor D7 retained-user cost.</w:t>
      </w:r>
    </w:p>
    <w:p>
      <w:pPr>
        <w:pStyle w:val="ListBullet"/>
      </w:pPr>
      <w:r>
        <w:t>Reduce or redesign creatives with weak engagement even when their acquisition cost appears low.</w:t>
      </w:r>
    </w:p>
    <w:p>
      <w:pPr>
        <w:pStyle w:val="ListBullet"/>
      </w:pPr>
      <w:r>
        <w:t>Investigate missing event coverage before making large budget changes.</w:t>
      </w:r>
    </w:p>
    <w:p>
      <w:pPr>
        <w:pStyle w:val="ListBullet"/>
      </w:pPr>
      <w:r>
        <w:t>Review changes after a complete seven-day maturation window.</w:t>
      </w:r>
    </w:p>
    <w:p>
      <w:pPr>
        <w:pStyle w:val="Heading1"/>
      </w:pPr>
      <w:r>
        <w:t>Data quality and methodology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shd w:fill="1F4E78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Validation status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Synthetic players after exclusions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1,165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Duplicate events removed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Pre-install events removed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Orphan event devices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0</w:t>
            </w:r>
          </w:p>
        </w:tc>
      </w:tr>
    </w:tbl>
    <w:p>
      <w:r>
        <w:t>The pipeline joins fictional acquisition records to product events through synthetic device identifiers. It removes test-market records, duplicate event identifiers and pre-install activity before calculating engagement. ROAS equals total synthetic ad and purchase revenue divided by synthetic spend.</w:t>
      </w:r>
    </w:p>
    <w:p>
      <w:r>
        <w:t>All data, names, findings and recommendations in this report are fictional and intended only for portfolio demonstration.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Game Marketing Performance October 2025</dc:title>
  <dc:subject>Synthetic portfolio analysis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