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703 players and generated 19.1% return on ad spend. D7 retention was 8.7%.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703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77.8%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20.4%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8.7%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19.1%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27.3%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49.8%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15.4%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$38.01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107.1%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$17.61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24.8%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$1.53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$29.61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$46.01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20.1%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83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$1.72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6.7%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$71.41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$65.10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$15.33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703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