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September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1,786 players and generated 19.9% return on ad spend. D7 retention was 10.3%. Playable Premium produced the strongest D7 retention, while Search Value North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1,786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94.5%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37.9%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10.3%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19.9%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Playable Premium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282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$4.08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14.3%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$34.87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Value North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206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$3.21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12.5%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$33.05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Intent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275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$4.76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$50.36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Gameplay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286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$3.36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$41.76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Playable Broad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388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$2.90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9.8%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$38.77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27.0%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Rewarded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6.1%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$37.09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21.7%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Value Global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$45.71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24.2%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Lifestyle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$3.69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4.3%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$84.94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4.5%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Playable Premium, Search Value North. The strongest return signals came from Playable Broad, Search Value Global.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Reward Story H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Playable Premium as the player-quality benchmark for the next controlled test.</w:t>
      </w:r>
    </w:p>
    <w:p>
      <w:pPr>
        <w:pStyle w:val="ListBullet"/>
      </w:pPr>
      <w:r>
        <w:t>Use Search Value North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1,786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13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7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September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