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891 players and generated 14.9% return on ad spend. D7 retention was 7.9%.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891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81.8%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23.1%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7.9%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14.9%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23.1%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43.4%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18.5%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$37.28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47.5%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$13.42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$35.75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10.2%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$16.15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32.0%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$93.46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$13.74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$233.65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5.5%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$2.04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$62.68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$65.14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891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