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1,160 players and generated 15.6% return on ad spend. D7 retention was 9.2%. Social iOS B produced the strongest D7 retention, while Social iOS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1,160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85.2%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24.6%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9.2%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15.6%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25.0%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21.4%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47.1%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129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$2.80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15.8%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$30.15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32.9%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245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$2.69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13.4%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$26.36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15.2%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$12.32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204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$1.12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$14.32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25.7%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176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$2.19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6.9%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$42.80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6.0%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$50.05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$234.08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6.8%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$65.26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Social iOS B, Search Android B. The strongest return signals came from Search Android B, Search Android A.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Social iOS B as the player-quality benchmark for the next controlled test.</w:t>
      </w:r>
    </w:p>
    <w:p>
      <w:pPr>
        <w:pStyle w:val="ListBullet"/>
      </w:pPr>
      <w:r>
        <w:t>Use Social iOS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1,160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