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Phase 1: The History (Context)</w:t>
      </w:r>
    </w:p>
    <w:p w:rsidR="00000000" w:rsidDel="00000000" w:rsidP="00000000" w:rsidRDefault="00000000" w:rsidRPr="00000000" w14:paraId="00000002">
      <w:pPr>
        <w:rPr/>
      </w:pPr>
      <w:r w:rsidDel="00000000" w:rsidR="00000000" w:rsidRPr="00000000">
        <w:rPr>
          <w:b w:val="1"/>
          <w:bCs w:val="1"/>
          <w:rtl w:val="0"/>
        </w:rPr>
        <w:t xml:space="preserve">Headline: From Static Manuals to Mixed-Initiative Systems</w:t>
      </w: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Rank 1: Flexible and Personalizable Mixed-Initiative Dialogue Systems (2003)</w:t>
      </w:r>
    </w:p>
    <w:p w:rsidR="00000000" w:rsidDel="00000000" w:rsidP="00000000" w:rsidRDefault="00000000" w:rsidRPr="00000000" w14:paraId="00000004">
      <w:pPr>
        <w:rPr/>
      </w:pPr>
      <w:r w:rsidDel="00000000" w:rsidR="00000000" w:rsidRPr="00000000">
        <w:rPr>
          <w:rtl w:val="0"/>
        </w:rPr>
        <w:t xml:space="preserve">Mixed-initiative interaction refers to a flexible, collaborative partnership between humans and computers (or other agents) where initiative is shared and shifts dynamically between parties based on who is best suited to handle the current task. Rather than a strict command-and-control structure, both the human and the AI agent can contribute, make suggestions, or take control, adapting to each other as they work toward a common goal.</w:t>
      </w:r>
    </w:p>
    <w:p w:rsidR="00000000" w:rsidDel="00000000" w:rsidP="00000000" w:rsidRDefault="00000000" w:rsidRPr="00000000" w14:paraId="00000005">
      <w:pPr>
        <w:rPr/>
      </w:pPr>
      <w:r w:rsidDel="00000000" w:rsidR="00000000" w:rsidRPr="00000000">
        <w:rPr>
          <w:b w:val="1"/>
          <w:bCs w:val="1"/>
          <w:rtl w:val="0"/>
        </w:rPr>
        <w:t xml:space="preserve">Story Role:</w:t>
      </w:r>
      <w:r w:rsidDel="00000000" w:rsidR="00000000" w:rsidRPr="00000000">
        <w:rPr>
          <w:rtl w:val="0"/>
        </w:rPr>
        <w:t xml:space="preserve"> This paper serves as the historical baseline for the project, documenting early conversational systems capable of user negotiation. Crucially, it identifies the "inciting incident" in the evolution of dialogue systems: the realization that reliance on static, pre-programmed knowledge bases rendered these systems unscalable and rigidly dependent on manual reprogramming. By framing this rigidity as the primary barrier to real-world adoption, the work defines the core problem that modern architectures must address. It marks a conceptual pivot point in the field, articulating the necessity of moving away from expert-only maintenance toward a vision of dynamic, user-driven configuration.</w:t>
      </w:r>
    </w:p>
    <w:p w:rsidR="00000000" w:rsidDel="00000000" w:rsidP="00000000" w:rsidRDefault="00000000" w:rsidRPr="00000000" w14:paraId="00000006">
      <w:pPr>
        <w:rPr/>
      </w:pPr>
      <w:r w:rsidDel="00000000" w:rsidR="00000000" w:rsidRPr="00000000">
        <w:rPr>
          <w:b w:val="1"/>
          <w:bCs w:val="1"/>
          <w:rtl w:val="0"/>
        </w:rPr>
        <w:t xml:space="preserve">Literature Review</w:t>
      </w:r>
      <w:r w:rsidDel="00000000" w:rsidR="00000000" w:rsidRPr="00000000">
        <w:rPr>
          <w:rtl w:val="0"/>
        </w:rPr>
        <w:t xml:space="preserve"> Early research into spoken dialogue systems identified that a primary barrier to widespread adoption was the inherent rigidity of the underlying technology. Historically, these systems relied on static knowledge spaces and required manual intervention by expert developers to augment their capabilities. Consequently, significant academic effort was directed toward creating "mixed-initiative" systems—interfaces where the conversation flow is shared between the user and the computer—that could be dynamically reconfigured to suit personalized goals.</w:t>
      </w:r>
    </w:p>
    <w:p w:rsidR="00000000" w:rsidDel="00000000" w:rsidP="00000000" w:rsidRDefault="00000000" w:rsidRPr="00000000" w14:paraId="00000007">
      <w:pPr>
        <w:rPr/>
      </w:pPr>
      <w:r w:rsidDel="00000000" w:rsidR="00000000" w:rsidRPr="00000000">
        <w:rPr>
          <w:b w:val="1"/>
          <w:bCs w:val="1"/>
          <w:rtl w:val="0"/>
        </w:rPr>
        <w:t xml:space="preserve">Dynamic Reconfiguration and Portability</w:t>
      </w:r>
      <w:r w:rsidDel="00000000" w:rsidR="00000000" w:rsidRPr="00000000">
        <w:rPr>
          <w:rtl w:val="0"/>
        </w:rPr>
        <w:t xml:space="preserve"> The vision for next-generation dialogue systems focused on the ability to support new working vocabularies within new domains essentially instantaneously. Researchers argued that for a system to be truly useful, it must be able to adapt to a user's specific context without long development cycles. For example, a system designed for restaurant inquiries should ideally be able to leverage external resources, such as the World Wide Web, to infer the necessary vocabulary, language models, and dialogue control mechanisms for a new geographic location on the fly. This approach moves away from hard-coded databases toward intelligent knowledge acquisition, where the system populates its understanding of entities (such as hotel names or local landmarks) based on immediate user needs.</w:t>
      </w:r>
    </w:p>
    <w:p w:rsidR="00000000" w:rsidDel="00000000" w:rsidP="00000000" w:rsidRDefault="00000000" w:rsidRPr="00000000" w14:paraId="00000008">
      <w:pPr>
        <w:rPr/>
      </w:pPr>
      <w:r w:rsidDel="00000000" w:rsidR="00000000" w:rsidRPr="00000000">
        <w:rPr>
          <w:b w:val="1"/>
          <w:bCs w:val="1"/>
          <w:rtl w:val="0"/>
        </w:rPr>
        <w:t xml:space="preserve">Technological Enablers for Flexibility</w:t>
      </w:r>
      <w:r w:rsidDel="00000000" w:rsidR="00000000" w:rsidRPr="00000000">
        <w:rPr>
          <w:rtl w:val="0"/>
        </w:rPr>
        <w:t xml:space="preserve"> To realize this level of flexibility, several core technologies were proposed to bridge the gap between expert-level development and end-user customization:</w:t>
      </w:r>
    </w:p>
    <w:p w:rsidR="00000000" w:rsidDel="00000000" w:rsidP="00000000" w:rsidRDefault="00000000" w:rsidRPr="00000000" w14:paraId="00000009">
      <w:pPr>
        <w:numPr>
          <w:ilvl w:val="0"/>
          <w:numId w:val="1"/>
        </w:numPr>
        <w:ind w:left="720" w:hanging="360"/>
        <w:rPr/>
      </w:pPr>
      <w:r w:rsidDel="00000000" w:rsidR="00000000" w:rsidRPr="00000000">
        <w:rPr>
          <w:b w:val="1"/>
          <w:bCs w:val="1"/>
          <w:rtl w:val="0"/>
        </w:rPr>
        <w:t xml:space="preserve">Rapid Prototyping Tools:</w:t>
      </w:r>
      <w:r w:rsidDel="00000000" w:rsidR="00000000" w:rsidRPr="00000000">
        <w:rPr>
          <w:rtl w:val="0"/>
        </w:rPr>
        <w:t xml:space="preserve"> The development of web-based utilities allowed naive developers to configure complex dialogue systems rapidly. By inputting domain-specific examples, these tools could automatically generate recognition vocabularies and semantic mappings, significantly lowering the barrier to entry for creating natural language interfaces.</w:t>
      </w:r>
    </w:p>
    <w:p w:rsidR="00000000" w:rsidDel="00000000" w:rsidP="00000000" w:rsidRDefault="00000000" w:rsidRPr="00000000" w14:paraId="0000000A">
      <w:pPr>
        <w:numPr>
          <w:ilvl w:val="0"/>
          <w:numId w:val="1"/>
        </w:numPr>
        <w:ind w:left="720" w:hanging="360"/>
        <w:rPr/>
      </w:pPr>
      <w:r w:rsidDel="00000000" w:rsidR="00000000" w:rsidRPr="00000000">
        <w:rPr>
          <w:b w:val="1"/>
          <w:bCs w:val="1"/>
          <w:rtl w:val="0"/>
        </w:rPr>
        <w:t xml:space="preserve">Patchwork Grammars:</w:t>
      </w:r>
      <w:r w:rsidDel="00000000" w:rsidR="00000000" w:rsidRPr="00000000">
        <w:rPr>
          <w:rtl w:val="0"/>
        </w:rPr>
        <w:t xml:space="preserve"> A critical challenge in deploying new domains is the lack of existing data for statistical language modeling. Solutions involved inducing grammars by recycling content from existing, related domains. For instance, logic governing "dates" or "prices" in a flight reservation system could be seamlessly transplanted to a hotel reservation domain, reducing the "chicken-and-egg" problem of training data.</w:t>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Handling Unknown Words:</w:t>
      </w:r>
      <w:r w:rsidDel="00000000" w:rsidR="00000000" w:rsidRPr="00000000">
        <w:rPr>
          <w:rtl w:val="0"/>
        </w:rPr>
        <w:t xml:space="preserve"> A major component of personalization is the system’s ability to learn new words during a conversation. Methodologies were developed to handle "unknown" tokens by engaging the user in a "speak and spell" mode. By integrating spoken pronunciation, spelling constraints, and web-based verification, systems could dynamically update their recognizers to support proper names or specific entities that were previously outside their vocabulary.</w:t>
      </w:r>
    </w:p>
    <w:p w:rsidR="00000000" w:rsidDel="00000000" w:rsidP="00000000" w:rsidRDefault="00000000" w:rsidRPr="00000000" w14:paraId="0000000C">
      <w:pPr>
        <w:rPr/>
      </w:pPr>
      <w:r w:rsidDel="00000000" w:rsidR="00000000" w:rsidRPr="00000000">
        <w:rPr>
          <w:b w:val="1"/>
          <w:bCs w:val="1"/>
          <w:rtl w:val="0"/>
        </w:rPr>
        <w:t xml:space="preserve">Conclusion</w:t>
      </w:r>
      <w:r w:rsidDel="00000000" w:rsidR="00000000" w:rsidRPr="00000000">
        <w:rPr>
          <w:rtl w:val="0"/>
        </w:rPr>
        <w:t xml:space="preserve"> The overarching goal of this research trajectory was to democratize the creation and maintenance of spoken dialogue systems. By focusing on portability, modularity, and the automated acquisition of knowledge, the field moved toward an architecture where systems are not static tools, but flexible agents capable of evolving through natural interaction with their users.</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Phase 2: The Problem &amp; The Shift (The Challenge)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Headline: The Ambiguity of Human Language in Diagnostics Rank: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Rank 2: Evaluating LLMs and Prompting Strategies for Automated Hardware Diagnosis (2025)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Story Role: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Moving to the modern era, this paper serves as the "Rising Action" in the narrative of automated diagnostics, defining the core problem of interpreting messy, unstructured user complaints (e.g., "screen is acting weird"). By rigorously benchmarking a vast array of models and prompting strategies, the research validates the feasibility of using Large Language Models (LLMs) to translate these vague inputs into technical component identifiers, achieving approximately 76% accuracy. Crucially, the work balances this potential against specific architectural nuances: it introduces the concept of "efficiency versus performance" to advocate for smaller, edge-capable models, while simultaneously identifying the critical failure of "Ambiguity Intolerance"—where models guess rather than request clarification. This analysis not only demonstrates the viability of Generative AI for diagnostics but specifically justifies the architectural need for a conversational agent rather than a simple classification tool.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Literature Review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Challenge of Unstructured User Reports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fundamental bottleneck in automating technical support lies in the disconnect between user perception and technical reality. Computer manufacturers and service providers receive vast quantities of textual reports describing device faults. These reports are frequently ambiguous, unstructured, and devoid of technical precision—for example, a user might describe a "flickering screen" without knowing if the root cause is the video card, the monitor, or the motherboard. Traditional rule-based systems struggle to parse this natural language variability. Consequently, the research posits that Large Language Models, with their advanced semantic understanding, offer a promising avenue for mapping free-text descriptions to specific faulty hardware components, thereby streamlining the troubleshooting pipeline.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Comprehensive Benchmarking Methodology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rigorously evaluate the efficacy of this approach, the study conducted an extensive empirical analysis involving nearly 100,000 inference runs using the specialized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FACTO dataset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contains over 800 labeled user reports. The methodology treated the diagnosis task as a text classification problem, mapping user inputs to eight specific hardware categories (including audio, battery, and CPU). The scope of the evaluation was notable for its breadth, testing twenty-seven open-source models ranging from 1 billion to 72 billion parameters, alongside proprietary state-of-the-art models. Crucially, the researchers utilized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4-bit quantization (GGUF)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open-source models, a technical decision that allowed them to assess how feasible these models are for deployment on standard consumer hardware with limited VRAM.</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Impact of Prompt Engineering Strategies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critical contribution of this work is the systematic isolation of prompt engineering as a performance variable. The investigation tested four distinct strategies: Zero-Shot, Few-Shot, Chain-of-Thought (CoT), and a hybrid CoT combined with Few-Shot. The results indicated that while model size matters, the prompting strategy is often the differentiator between failure and success. The hybrid approach, which forces the model to articulate its reasoning step-by-step before classifying, consistently yielded the highest F1-scores, peaking at approximately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0.76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Furthermore, the analysis revealed that smaller models are particularly sensitive to prompting; without the context provided by Few-Shot examples, smaller architectures frequently failed to generate structured, machine-readable outputs, whereas larger models demonstrated greater robustness.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Balancing Performance and Computational Efficiency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study concludes by establishing a "Pareto frontier" for hardware diagnostics—identifying models that offer the optimal trade-off between diagnostic accuracy and computational resource consumption. While massive models generally achieved the highest raw performance, the research highlighted that performance gains plateau after a certain parameter threshold (approximately 30 billion). Significantly, the findings demonstrate that compact models (specifically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2-billion parameter range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can achieve competitive accuracy when prompted correctly. This discovery is transformative for the industry, as it suggests that effective automated diagnostics can be deployed on end-user devices equipped with Neural Processing Units (NPUs), eliminating the privacy concerns and latency associated with cloud-based inference.</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Phase 3: The Core Theory (The "Brain")</w:t>
      </w:r>
    </w:p>
    <w:p w:rsidR="00000000" w:rsidDel="00000000" w:rsidP="00000000" w:rsidRDefault="00000000" w:rsidRPr="00000000" w14:paraId="0000001C">
      <w:pPr>
        <w:rPr>
          <w:b w:val="1"/>
          <w:bCs w:val="1"/>
        </w:rPr>
      </w:pPr>
      <w:r w:rsidDel="00000000" w:rsidR="00000000" w:rsidRPr="00000000">
        <w:rPr>
          <w:b w:val="1"/>
          <w:bCs w:val="1"/>
          <w:rtl w:val="0"/>
        </w:rPr>
        <w:t xml:space="preserve">Headline: Zero-Shot Diagnostics: Replacing Manuals with Parametric Memory</w:t>
      </w:r>
    </w:p>
    <w:p w:rsidR="00000000" w:rsidDel="00000000" w:rsidP="00000000" w:rsidRDefault="00000000" w:rsidRPr="00000000" w14:paraId="0000001D">
      <w:pPr>
        <w:rPr>
          <w:b w:val="1"/>
          <w:bCs w:val="1"/>
        </w:rPr>
      </w:pPr>
      <w:r w:rsidDel="00000000" w:rsidR="00000000" w:rsidRPr="00000000">
        <w:rPr>
          <w:b w:val="1"/>
          <w:bCs w:val="1"/>
          <w:rtl w:val="0"/>
        </w:rPr>
        <w:t xml:space="preserve">Rank 3: Rethinking LLM Parametric Knowledge as Post-retrieval Confidence (2025)</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Story Role:</w:t>
      </w:r>
      <w:r w:rsidDel="00000000" w:rsidR="00000000" w:rsidRPr="00000000">
        <w:rPr>
          <w:rtl w:val="0"/>
        </w:rPr>
        <w:t xml:space="preserve"> This study functions as the "Internal Regulator" or "Metacognition" module within the project’s architectural narrative, providing the scientific permission for the proposed system design. It argues that modern models possess sufficient internal "parametric memory" to diagnose issues without constant reliance on external document retrieval (RAG), provided they utilize the critical capability of introspection to measure their own confidence via internal states. This advances the field from passive retrieval systems to active, self-aware agents capable of distinguishing between helpful context and distracting noise. By ensuring that external "Manuals" are accessed only when strictly necessary, the research optimizes computational efficiency and accuracy, directly backing the decision to implement a "Zero-Knowledge Base" system.</w:t>
      </w:r>
    </w:p>
    <w:p w:rsidR="00000000" w:rsidDel="00000000" w:rsidP="00000000" w:rsidRDefault="00000000" w:rsidRPr="00000000" w14:paraId="00000020">
      <w:pPr>
        <w:rPr>
          <w:b w:val="1"/>
          <w:bCs w:val="1"/>
        </w:rPr>
      </w:pPr>
      <w:r w:rsidDel="00000000" w:rsidR="00000000" w:rsidRPr="00000000">
        <w:rPr>
          <w:b w:val="1"/>
          <w:bCs w:val="1"/>
          <w:rtl w:val="0"/>
        </w:rPr>
        <w:t xml:space="preserve">Literature Review</w:t>
      </w:r>
    </w:p>
    <w:p w:rsidR="00000000" w:rsidDel="00000000" w:rsidP="00000000" w:rsidRDefault="00000000" w:rsidRPr="00000000" w14:paraId="00000021">
      <w:pPr>
        <w:rPr/>
      </w:pPr>
      <w:r w:rsidDel="00000000" w:rsidR="00000000" w:rsidRPr="00000000">
        <w:rPr>
          <w:b w:val="1"/>
          <w:bCs w:val="1"/>
          <w:rtl w:val="0"/>
        </w:rPr>
        <w:t xml:space="preserve">The Challenge of Knowledge Boundary Awareness</w:t>
      </w:r>
      <w:r w:rsidDel="00000000" w:rsidR="00000000" w:rsidRPr="00000000">
        <w:rPr>
          <w:rtl w:val="0"/>
        </w:rPr>
        <w:t xml:space="preserve"> The integration of Retrieval-Augmented Generation (RAG) has been pivotal in extending the capabilities of Large Language Models (LLMs), yet a fundamental inefficiency persists: the inability to effectively discern whether retrieved information is genuinely beneficial or merely distractive. Standard retrieval systems rely on semantic similarity, which often fetches plausible but irrelevant contexts that can induce "knowledge conflicts"—situations where external noise overrides the model’s correct internal parametric knowledge. The research identifies that existing methods for gauging model uncertainty, such as prompt-guided confidence estimation or multi-sample aggregation, are often superficial. These methods fail to access the rich, continuous information embedded deep within the model's neural architecture, resulting in poor judgment regarding when to trust external data versus internal memory.</w:t>
      </w:r>
    </w:p>
    <w:p w:rsidR="00000000" w:rsidDel="00000000" w:rsidP="00000000" w:rsidRDefault="00000000" w:rsidRPr="00000000" w14:paraId="00000022">
      <w:pPr>
        <w:rPr/>
      </w:pPr>
      <w:r w:rsidDel="00000000" w:rsidR="00000000" w:rsidRPr="00000000">
        <w:rPr>
          <w:b w:val="1"/>
          <w:bCs w:val="1"/>
          <w:rtl w:val="0"/>
        </w:rPr>
        <w:t xml:space="preserve">Internal Hidden States as Truth Signals</w:t>
      </w:r>
      <w:r w:rsidDel="00000000" w:rsidR="00000000" w:rsidRPr="00000000">
        <w:rPr>
          <w:rtl w:val="0"/>
        </w:rPr>
        <w:t xml:space="preserve"> To resolve this, the study proposes a shift from discrete output analysis to the examination of continuous internal hidden states. The methodology focuses on the "Mid_Layer" hidden states generated just before the model produces its first token (Pre-Token). The authors posit that these intermediate representations encapsulate a more honest signal of the model’s self-awareness than the final text output. By constructing a specialized "Confidence Detection Model," the system can quantify the "confidence shift"—the precise delta in the model’s certainty when processing a query with external context versus processing it in isolation. This allows for a granular assessment of whether a specific piece of retrieved evidence functionally enhances the model's reasoning capabilities.</w:t>
      </w:r>
    </w:p>
    <w:p w:rsidR="00000000" w:rsidDel="00000000" w:rsidP="00000000" w:rsidRDefault="00000000" w:rsidRPr="00000000" w14:paraId="00000023">
      <w:pPr>
        <w:rPr/>
      </w:pPr>
      <w:r w:rsidDel="00000000" w:rsidR="00000000" w:rsidRPr="00000000">
        <w:rPr>
          <w:b w:val="1"/>
          <w:bCs w:val="1"/>
          <w:rtl w:val="0"/>
        </w:rPr>
        <w:t xml:space="preserve">Preference-Aligned Reranking and the NQ_Rerank Dataset</w:t>
      </w:r>
      <w:r w:rsidDel="00000000" w:rsidR="00000000" w:rsidRPr="00000000">
        <w:rPr>
          <w:rtl w:val="0"/>
        </w:rPr>
        <w:t xml:space="preserve"> A key innovation introduced is the alignment of the retrieval mechanism with the specific "cognitive" preferences of the downstream LLM. The researchers constructed a novel preference dataset, designated as NQ_Rerank, derived from the confidence shifts observed in the model. Instead of training rerankers on generic human-labeled relevance, the reranker is fine-tuned to prioritize documents that historically increase the LLM’s internal confidence scores. This creates a closed-loop system where the retriever learns to fetch not just semantically similar text, but text that the specific LLM finds "convincing" and useful for generating correct answers.</w:t>
      </w:r>
    </w:p>
    <w:p w:rsidR="00000000" w:rsidDel="00000000" w:rsidP="00000000" w:rsidRDefault="00000000" w:rsidRPr="00000000" w14:paraId="00000024">
      <w:pPr>
        <w:rPr/>
      </w:pPr>
      <w:r w:rsidDel="00000000" w:rsidR="00000000" w:rsidRPr="00000000">
        <w:rPr>
          <w:b w:val="1"/>
          <w:bCs w:val="1"/>
          <w:rtl w:val="0"/>
        </w:rPr>
        <w:t xml:space="preserve">Confidence-Based Dynamic Retrieval (CBDR)</w:t>
      </w:r>
      <w:r w:rsidDel="00000000" w:rsidR="00000000" w:rsidRPr="00000000">
        <w:rPr>
          <w:rtl w:val="0"/>
        </w:rPr>
        <w:t xml:space="preserve"> Building upon the detection of internal states, the research introduces Confidence-Based Dynamic Retrieval (CBDR). This mechanism acts as a gatekeeper, evaluating the LLM’s initial confidence in a query before any retrieval takes place. If the model’s internal parametric knowledge is deemed sufficient (i.e., confidence exceeds a calibrated threshold), the retrieval process is bypassed entirely. This dynamic approach addresses the dual challenges of efficiency and accuracy: it significantly reduces computational overhead by eliminating redundant retrieval steps and protects the model from being confused by low-quality external contexts when its internal knowledge is already adequate. The experimental results confirm that this architecture not only improves context screening accuracy but also enhances the overall robustness of the generation system.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b w:val="1"/>
          <w:bCs w:val="1"/>
        </w:rPr>
      </w:pPr>
      <w:r w:rsidDel="00000000" w:rsidR="00000000" w:rsidRPr="00000000">
        <w:rPr>
          <w:b w:val="1"/>
          <w:bCs w:val="1"/>
          <w:rtl w:val="0"/>
        </w:rPr>
        <w:t xml:space="preserve">Phase 4: The Architecture (The Structure)</w:t>
      </w:r>
    </w:p>
    <w:p w:rsidR="00000000" w:rsidDel="00000000" w:rsidP="00000000" w:rsidRDefault="00000000" w:rsidRPr="00000000" w14:paraId="00000028">
      <w:pPr>
        <w:rPr>
          <w:b w:val="1"/>
          <w:bCs w:val="1"/>
        </w:rPr>
      </w:pPr>
      <w:r w:rsidDel="00000000" w:rsidR="00000000" w:rsidRPr="00000000">
        <w:rPr>
          <w:b w:val="1"/>
          <w:bCs w:val="1"/>
          <w:rtl w:val="0"/>
        </w:rPr>
        <w:t xml:space="preserve">Headline: The Hive Mind: Multi-Agent Orchestration</w:t>
      </w:r>
    </w:p>
    <w:p w:rsidR="00000000" w:rsidDel="00000000" w:rsidP="00000000" w:rsidRDefault="00000000" w:rsidRPr="00000000" w14:paraId="00000029">
      <w:pPr>
        <w:rPr>
          <w:b w:val="1"/>
          <w:bCs w:val="1"/>
        </w:rPr>
      </w:pPr>
      <w:r w:rsidDel="00000000" w:rsidR="00000000" w:rsidRPr="00000000">
        <w:rPr>
          <w:b w:val="1"/>
          <w:bCs w:val="1"/>
          <w:rtl w:val="0"/>
        </w:rPr>
        <w:t xml:space="preserve">Rank 4: MegaAgent: A Large-Scale Autonomous LLM-based Multi-Agent System (2025)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Story Role:</w:t>
      </w:r>
      <w:r w:rsidDel="00000000" w:rsidR="00000000" w:rsidRPr="00000000">
        <w:rPr>
          <w:rtl w:val="0"/>
        </w:rPr>
        <w:t xml:space="preserve"> Now that the "Brain" is established, this paper defines the "Body" of the architecture, representing a pivotal breakthrough in the narrative of Multi-Agent Systems (MAS). It moves beyond the limitations of rigid, human-scripted interactions to introduce a "Boss-Admin-Worker" hierarchy, acting as a climax that shatters the scalability ceiling inherent in earlier frameworks. By proving that autonomous systems can self-organize and manage dynamic agent recruitment without human intervention, this work justifies the architectural decision to structure Revia not as a monolithic chatbot, but as a collaborative ecosystem. Specifically, it supports the deployment of a "Planner" to delegate tasks to specialized "Diagnosis" and "Matching" agents, effectively preventing cognitive overload and enabling the transition from small, scripted teams to massive, adaptive swarms.</w:t>
      </w:r>
    </w:p>
    <w:p w:rsidR="00000000" w:rsidDel="00000000" w:rsidP="00000000" w:rsidRDefault="00000000" w:rsidRPr="00000000" w14:paraId="0000002C">
      <w:pPr>
        <w:rPr>
          <w:b w:val="1"/>
          <w:bCs w:val="1"/>
        </w:rPr>
      </w:pPr>
      <w:r w:rsidDel="00000000" w:rsidR="00000000" w:rsidRPr="00000000">
        <w:rPr>
          <w:b w:val="1"/>
          <w:bCs w:val="1"/>
          <w:rtl w:val="0"/>
        </w:rPr>
        <w:t xml:space="preserve">Literature Review</w:t>
      </w:r>
    </w:p>
    <w:p w:rsidR="00000000" w:rsidDel="00000000" w:rsidP="00000000" w:rsidRDefault="00000000" w:rsidRPr="00000000" w14:paraId="0000002D">
      <w:pPr>
        <w:rPr/>
      </w:pPr>
      <w:r w:rsidDel="00000000" w:rsidR="00000000" w:rsidRPr="00000000">
        <w:rPr>
          <w:b w:val="1"/>
          <w:bCs w:val="1"/>
          <w:rtl w:val="0"/>
        </w:rPr>
        <w:t xml:space="preserve">The Problem Statement</w:t>
      </w:r>
      <w:r w:rsidDel="00000000" w:rsidR="00000000" w:rsidRPr="00000000">
        <w:rPr>
          <w:rtl w:val="0"/>
        </w:rPr>
        <w:t xml:space="preserve"> Despite the rapid advancement of Large Language Model (LLM) based agents, existing multi-agent systems have faced significant hurdles regarding scalability and autonomy. Conventional frameworks typically rely on static, user-defined configurations, requiring humans to manually design agent roles, communication graphs, and Standard Operating Procedures (SOPs). This reliance creates a bottleneck; as tasks grow in complexity, the human effort required to choreograph agent interactions becomes prohibitive. Furthermore, existing systems often utilize sequential execution pipelines, leading to linear increases in time complexity and communication overhead as the number of agents grows. Consequently, these systems struggle to coordinate large numbers of agents effectively, often failing to complete expansive tasks such as complex software development or large-scale social simulations due to coordination breakdowns and the propagation of "hallucinations" or errors throughout the agent network.</w:t>
      </w:r>
    </w:p>
    <w:p w:rsidR="00000000" w:rsidDel="00000000" w:rsidP="00000000" w:rsidRDefault="00000000" w:rsidRPr="00000000" w14:paraId="0000002E">
      <w:pPr>
        <w:rPr/>
      </w:pPr>
      <w:r w:rsidDel="00000000" w:rsidR="00000000" w:rsidRPr="00000000">
        <w:rPr>
          <w:b w:val="1"/>
          <w:bCs w:val="1"/>
          <w:rtl w:val="0"/>
        </w:rPr>
        <w:t xml:space="preserve">The Methodology/Approach</w:t>
      </w:r>
      <w:r w:rsidDel="00000000" w:rsidR="00000000" w:rsidRPr="00000000">
        <w:rPr>
          <w:rtl w:val="0"/>
        </w:rPr>
        <w:t xml:space="preserve"> To address these limitations, the research introduces MegaAgent, a framework inspired by Operating System (OS) principles, specifically the management of processes and threads. The system employs a recursive, hierarchical task management strategy that eliminates the need for predefined SOPs. Upon receiving a high-level meta-prompt, a central "Boss Agent" autonomously decomposes the objective into subtasks and assigns them to "Admin Agents." These administrators possess the autonomy to assess task complexity and dynamically recruit additional subordinate agents if necessary, forming a multi-level hierarchy of dynamic groups.</w:t>
      </w:r>
    </w:p>
    <w:p w:rsidR="00000000" w:rsidDel="00000000" w:rsidP="00000000" w:rsidRDefault="00000000" w:rsidRPr="00000000" w14:paraId="0000002F">
      <w:pPr>
        <w:rPr/>
      </w:pPr>
      <w:r w:rsidDel="00000000" w:rsidR="00000000" w:rsidRPr="00000000">
        <w:rPr>
          <w:rtl w:val="0"/>
        </w:rPr>
        <w:t xml:space="preserve">Crucially, the architecture supports parallel execution. Distinct agent groups operate concurrently, similar to threads within a process, significantly reducing the time required for task completion. To manage the complex flow of information, the system utilizes a producer-consumer message queue mechanism, allowing for asynchronous communication that balances computational cost with throughput.</w:t>
      </w:r>
    </w:p>
    <w:p w:rsidR="00000000" w:rsidDel="00000000" w:rsidP="00000000" w:rsidRDefault="00000000" w:rsidRPr="00000000" w14:paraId="00000030">
      <w:pPr>
        <w:rPr/>
      </w:pPr>
      <w:r w:rsidDel="00000000" w:rsidR="00000000" w:rsidRPr="00000000">
        <w:rPr>
          <w:b w:val="1"/>
          <w:bCs w:val="1"/>
          <w:rtl w:val="0"/>
        </w:rPr>
        <w:t xml:space="preserve">Key Technologies and Concepts Introduced</w:t>
      </w:r>
      <w:r w:rsidDel="00000000" w:rsidR="00000000" w:rsidRPr="00000000">
        <w:rPr>
          <w:rtl w:val="0"/>
        </w:rPr>
        <w:t xml:space="preserve"> The study introduces several architectural innovations designed to stabilize large-scale autonomy. First, it implements a </w:t>
      </w:r>
      <w:r w:rsidDel="00000000" w:rsidR="00000000" w:rsidRPr="00000000">
        <w:rPr>
          <w:b w:val="1"/>
          <w:bCs w:val="1"/>
          <w:rtl w:val="0"/>
        </w:rPr>
        <w:t xml:space="preserve">Hierarchical Monitoring Mechanism</w:t>
      </w:r>
      <w:r w:rsidDel="00000000" w:rsidR="00000000" w:rsidRPr="00000000">
        <w:rPr>
          <w:rtl w:val="0"/>
        </w:rPr>
        <w:t xml:space="preserve"> across three levels: individual agents utilize self-correction checklists; Admin Agents oversee group outputs to ensure task alignment; and the Boss Agent performs system-level verification. This multi-layered oversight minimizes the cascading effect of errors common in single-layer systems.</w:t>
      </w:r>
    </w:p>
    <w:p w:rsidR="00000000" w:rsidDel="00000000" w:rsidP="00000000" w:rsidRDefault="00000000" w:rsidRPr="00000000" w14:paraId="00000031">
      <w:pPr>
        <w:rPr/>
      </w:pPr>
      <w:r w:rsidDel="00000000" w:rsidR="00000000" w:rsidRPr="00000000">
        <w:rPr>
          <w:rtl w:val="0"/>
        </w:rPr>
        <w:t xml:space="preserve">Second, the framework integrates a robust </w:t>
      </w:r>
      <w:r w:rsidDel="00000000" w:rsidR="00000000" w:rsidRPr="00000000">
        <w:rPr>
          <w:b w:val="1"/>
          <w:bCs w:val="1"/>
          <w:rtl w:val="0"/>
        </w:rPr>
        <w:t xml:space="preserve">File Management System</w:t>
      </w:r>
      <w:r w:rsidDel="00000000" w:rsidR="00000000" w:rsidRPr="00000000">
        <w:rPr>
          <w:rtl w:val="0"/>
        </w:rPr>
        <w:t xml:space="preserve"> featuring Git-based version control and a global mutex lock. This allows multiple agents to read and write shared files concurrently without data corruption, a critical feature for collaborative software development. Furthermore, the system incorporates a vector database to provide agents with long-term memory, mitigating the context window limitations of standard LLMs and ensuring consistency over prolonged interactions.</w:t>
      </w:r>
    </w:p>
    <w:p w:rsidR="00000000" w:rsidDel="00000000" w:rsidP="00000000" w:rsidRDefault="00000000" w:rsidRPr="00000000" w14:paraId="00000032">
      <w:pPr>
        <w:rPr/>
      </w:pPr>
      <w:r w:rsidDel="00000000" w:rsidR="00000000" w:rsidRPr="00000000">
        <w:rPr>
          <w:b w:val="1"/>
          <w:bCs w:val="1"/>
          <w:rtl w:val="0"/>
        </w:rPr>
        <w:t xml:space="preserve">The Conclusion/Impact</w:t>
      </w:r>
      <w:r w:rsidDel="00000000" w:rsidR="00000000" w:rsidRPr="00000000">
        <w:rPr>
          <w:rtl w:val="0"/>
        </w:rPr>
        <w:t xml:space="preserve"> The proposed system demonstrated exceptional performance and scalability in comparative evaluations against leading baselines. In a software development task, the system successfully coordinated the creation of a fully functional Gobang game within 800 seconds, a feat that baseline models failed to achieve due to coding errors or infinite loops. More impressively, in a national policy simulation, the framework spontaneously generated and coordinated approximately 590 agents to draft comprehensive policies across multiple domains. This reduced the time complexity of agent coordination from linear to logarithmic scales, proving that massive, autonomous agent swarms can function efficiently. The research establishes a new foundation for MAS, suggesting that hierarchical, self-correcting, and parallelized architectures are essential for the next generation of autonomous systems.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b w:val="1"/>
          <w:bCs w:val="1"/>
        </w:rPr>
      </w:pPr>
      <w:r w:rsidDel="00000000" w:rsidR="00000000" w:rsidRPr="00000000">
        <w:rPr>
          <w:b w:val="1"/>
          <w:bCs w:val="1"/>
          <w:rtl w:val="0"/>
        </w:rPr>
        <w:t xml:space="preserve">Phase 5: The Logic Flow (The Behavior)</w:t>
      </w:r>
    </w:p>
    <w:p w:rsidR="00000000" w:rsidDel="00000000" w:rsidP="00000000" w:rsidRDefault="00000000" w:rsidRPr="00000000" w14:paraId="00000036">
      <w:pPr>
        <w:rPr>
          <w:b w:val="1"/>
          <w:bCs w:val="1"/>
        </w:rPr>
      </w:pPr>
      <w:r w:rsidDel="00000000" w:rsidR="00000000" w:rsidRPr="00000000">
        <w:rPr>
          <w:b w:val="1"/>
          <w:bCs w:val="1"/>
          <w:rtl w:val="0"/>
        </w:rPr>
        <w:t xml:space="preserve">Headline: Sense, Plan, Act: The Autonomous Repair Cycle</w:t>
      </w:r>
    </w:p>
    <w:p w:rsidR="00000000" w:rsidDel="00000000" w:rsidP="00000000" w:rsidRDefault="00000000" w:rsidRPr="00000000" w14:paraId="00000037">
      <w:pPr>
        <w:rPr>
          <w:b w:val="1"/>
          <w:bCs w:val="1"/>
        </w:rPr>
      </w:pPr>
      <w:r w:rsidDel="00000000" w:rsidR="00000000" w:rsidRPr="00000000">
        <w:rPr>
          <w:b w:val="1"/>
          <w:bCs w:val="1"/>
          <w:rtl w:val="0"/>
        </w:rPr>
        <w:t xml:space="preserve">Rank 5: RepairAgent: An Autonomous, LLM-Based Agent for Program Repair (2024)</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Story Role:</w:t>
      </w:r>
      <w:r w:rsidDel="00000000" w:rsidR="00000000" w:rsidRPr="00000000">
        <w:rPr>
          <w:rtl w:val="0"/>
        </w:rPr>
        <w:t xml:space="preserve"> This research represents a pivotal evolutionary leap—the "Climax"—in the narrative of Automated Program Repair (APR), effectively redefining the behavioral loop of the agent. By moving beyond the limitations of passive LLMs within hard-coded feedback loops, the work introduces a rigorous cycle of "Gathering Info" (Sense), "Forming a Hypothesis" (Plan), and "Verifying the Fix" (Act). This transition grants the AI the agency to navigate codebases and iteratively test hypotheses, bridging the gap between static code generation and the dynamic, exploratory nature of human debugging. Consequently, this logic directly informs the system's triage process (distinguishing between DIY solutions and Technician escalation), marking the shift from rigid, script-based repair systems to adaptive, agentic software engineering tools.</w:t>
      </w:r>
    </w:p>
    <w:p w:rsidR="00000000" w:rsidDel="00000000" w:rsidP="00000000" w:rsidRDefault="00000000" w:rsidRPr="00000000" w14:paraId="0000003A">
      <w:pPr>
        <w:rPr>
          <w:b w:val="1"/>
          <w:bCs w:val="1"/>
        </w:rPr>
      </w:pPr>
      <w:r w:rsidDel="00000000" w:rsidR="00000000" w:rsidRPr="00000000">
        <w:rPr>
          <w:b w:val="1"/>
          <w:bCs w:val="1"/>
          <w:rtl w:val="0"/>
        </w:rPr>
        <w:t xml:space="preserve">Literature Review</w:t>
      </w:r>
    </w:p>
    <w:p w:rsidR="00000000" w:rsidDel="00000000" w:rsidP="00000000" w:rsidRDefault="00000000" w:rsidRPr="00000000" w14:paraId="0000003B">
      <w:pPr>
        <w:rPr/>
      </w:pPr>
      <w:r w:rsidDel="00000000" w:rsidR="00000000" w:rsidRPr="00000000">
        <w:rPr>
          <w:b w:val="1"/>
          <w:bCs w:val="1"/>
          <w:rtl w:val="0"/>
        </w:rPr>
        <w:t xml:space="preserve">The Problem Statement</w:t>
      </w:r>
      <w:r w:rsidDel="00000000" w:rsidR="00000000" w:rsidRPr="00000000">
        <w:rPr>
          <w:rtl w:val="0"/>
        </w:rPr>
        <w:t xml:space="preserve"> The prevailing limitations in LLM-based program repair have stemmed from the rigidity of interaction models. First-generation approaches relied on single-turn interactions, providing the model with a fixed context and expecting an immediate solution. Second-generation techniques introduced iterative feedback loops, yet these remained fundamentally constrained by hard-coded workflows that dictated exactly what information the model received. These methods failed to mimic the human repair process, which typically involves a temporal interleaving of gathering information, searching for repair ingredients across the codebase, and validating hypotheses through trial and error. Without the ability to autonomously explore and retrieve context, models often struggled with complex bugs requiring multi-location fixes or understanding beyond the immediate scope of the error.</w:t>
      </w:r>
    </w:p>
    <w:p w:rsidR="00000000" w:rsidDel="00000000" w:rsidP="00000000" w:rsidRDefault="00000000" w:rsidRPr="00000000" w14:paraId="0000003C">
      <w:pPr>
        <w:rPr/>
      </w:pPr>
      <w:r w:rsidDel="00000000" w:rsidR="00000000" w:rsidRPr="00000000">
        <w:rPr>
          <w:b w:val="1"/>
          <w:bCs w:val="1"/>
          <w:rtl w:val="0"/>
        </w:rPr>
        <w:t xml:space="preserve">The Methodology and Approach</w:t>
      </w:r>
      <w:r w:rsidDel="00000000" w:rsidR="00000000" w:rsidRPr="00000000">
        <w:rPr>
          <w:rtl w:val="0"/>
        </w:rPr>
        <w:t xml:space="preserve"> To address these constraints, the research introduces an autonomous agent framework capable of planning and executing actions to resolve software defects. The core of this approach lies in treating the LLM not merely as a text completion engine, but as a decision-maker interacting with an environment. The architecture utilizes a middleware component that orchestrates communication between the LLM and a suite of external tools. This interaction is governed by a dynamic prompting mechanism, where the input to the model is continuously updated based on the results of previous actions, effectively creating a "short-term memory" of the debugging session.</w:t>
      </w:r>
    </w:p>
    <w:p w:rsidR="00000000" w:rsidDel="00000000" w:rsidP="00000000" w:rsidRDefault="00000000" w:rsidRPr="00000000" w14:paraId="0000003D">
      <w:pPr>
        <w:rPr/>
      </w:pPr>
      <w:r w:rsidDel="00000000" w:rsidR="00000000" w:rsidRPr="00000000">
        <w:rPr>
          <w:rtl w:val="0"/>
        </w:rPr>
        <w:t xml:space="preserve">Crucially, the agent’s behavior is guided—though not strictly forced—by a Finite State Machine (FSM). This FSM mimics the cognitive phases of a human developer, transitioning between states such as "Understand the bug," "Collect information," and "Try to fix." This structure prevents the agent from entering aimless loops while retaining the flexibility to jump between gathering context and attempting patches as needed.</w:t>
      </w:r>
    </w:p>
    <w:p w:rsidR="00000000" w:rsidDel="00000000" w:rsidP="00000000" w:rsidRDefault="00000000" w:rsidRPr="00000000" w14:paraId="0000003E">
      <w:pPr>
        <w:rPr/>
      </w:pPr>
      <w:r w:rsidDel="00000000" w:rsidR="00000000" w:rsidRPr="00000000">
        <w:rPr>
          <w:b w:val="1"/>
          <w:bCs w:val="1"/>
          <w:rtl w:val="0"/>
        </w:rPr>
        <w:t xml:space="preserve">Key Technologies and Concepts Introduced</w:t>
      </w:r>
      <w:r w:rsidDel="00000000" w:rsidR="00000000" w:rsidRPr="00000000">
        <w:rPr>
          <w:rtl w:val="0"/>
        </w:rPr>
        <w:t xml:space="preserve"> The efficacy of this autonomous system relies on three distinct components. First, the </w:t>
      </w:r>
      <w:r w:rsidDel="00000000" w:rsidR="00000000" w:rsidRPr="00000000">
        <w:rPr>
          <w:b w:val="1"/>
          <w:bCs w:val="1"/>
          <w:rtl w:val="0"/>
        </w:rPr>
        <w:t xml:space="preserve">Dynamic Prompting Strategy</w:t>
      </w:r>
      <w:r w:rsidDel="00000000" w:rsidR="00000000" w:rsidRPr="00000000">
        <w:rPr>
          <w:rtl w:val="0"/>
        </w:rPr>
        <w:t xml:space="preserve"> segment the model's input into static instructions and dynamic updates, tracking the agent's current state, available tools, and previously gathered information. Second, the framework equips the agent with a comprehensive </w:t>
      </w:r>
      <w:r w:rsidDel="00000000" w:rsidR="00000000" w:rsidRPr="00000000">
        <w:rPr>
          <w:b w:val="1"/>
          <w:bCs w:val="1"/>
          <w:rtl w:val="0"/>
        </w:rPr>
        <w:t xml:space="preserve">Toolset</w:t>
      </w:r>
      <w:r w:rsidDel="00000000" w:rsidR="00000000" w:rsidRPr="00000000">
        <w:rPr>
          <w:rtl w:val="0"/>
        </w:rPr>
        <w:t xml:space="preserve"> of 14 distinct commands. These range from information-gathering actions, such as reading specific lines of code and searching the codebase for keywords or API usage, to active manipulation commands like generating method bodies and applying patches.</w:t>
      </w:r>
    </w:p>
    <w:p w:rsidR="00000000" w:rsidDel="00000000" w:rsidP="00000000" w:rsidRDefault="00000000" w:rsidRPr="00000000" w14:paraId="0000003F">
      <w:pPr>
        <w:rPr/>
      </w:pPr>
      <w:r w:rsidDel="00000000" w:rsidR="00000000" w:rsidRPr="00000000">
        <w:rPr>
          <w:rtl w:val="0"/>
        </w:rPr>
        <w:t xml:space="preserve">Third, the system implements a </w:t>
      </w:r>
      <w:r w:rsidDel="00000000" w:rsidR="00000000" w:rsidRPr="00000000">
        <w:rPr>
          <w:b w:val="1"/>
          <w:bCs w:val="1"/>
          <w:rtl w:val="0"/>
        </w:rPr>
        <w:t xml:space="preserve">Hypothesis-Driven Workflow</w:t>
      </w:r>
      <w:r w:rsidDel="00000000" w:rsidR="00000000" w:rsidRPr="00000000">
        <w:rPr>
          <w:rtl w:val="0"/>
        </w:rPr>
        <w:t xml:space="preserve">. Tools such as express_hypothesis and discard_hypothesis allow the agent to formalize its reasoning before attempting a fix, aligning the automated process with the principles of scientific debugging. This ensures that the model does not merely guess blindly but builds a logical foundation for its repair attempts.</w:t>
      </w:r>
    </w:p>
    <w:p w:rsidR="00000000" w:rsidDel="00000000" w:rsidP="00000000" w:rsidRDefault="00000000" w:rsidRPr="00000000" w14:paraId="00000040">
      <w:pPr>
        <w:rPr/>
      </w:pPr>
      <w:r w:rsidDel="00000000" w:rsidR="00000000" w:rsidRPr="00000000">
        <w:rPr>
          <w:b w:val="1"/>
          <w:bCs w:val="1"/>
          <w:rtl w:val="0"/>
        </w:rPr>
        <w:t xml:space="preserve">The Conclusion and Impact</w:t>
      </w:r>
      <w:r w:rsidDel="00000000" w:rsidR="00000000" w:rsidRPr="00000000">
        <w:rPr>
          <w:rtl w:val="0"/>
        </w:rPr>
        <w:t xml:space="preserve"> The evaluation of this autonomous agent on the Defects4J benchmark demonstrated a significant advancement in the state of the art, successfully repairing 164 bugs, including 39 that prior techniques failed to resolve. Notably, the agent proved capable of addressing complex, multi-line defects by actively retrieving necessary context that was not present in the initial bug report. The study further highlighted the cost-effectiveness of this approach, with the average repair costing approximately 14 cents per bug. Ultimately, this work establishes a precedent for the future of software engineering, demonstrating that autonomous agents can effectively navigate the complexities of real-world codebases without heavy-handed human orchestration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b w:val="1"/>
          <w:bCs w:val="1"/>
        </w:rPr>
      </w:pPr>
      <w:r w:rsidDel="00000000" w:rsidR="00000000" w:rsidRPr="00000000">
        <w:rPr>
          <w:b w:val="1"/>
          <w:bCs w:val="1"/>
          <w:rtl w:val="0"/>
        </w:rPr>
        <w:t xml:space="preserve">Phase 6: The User Experience (Explainability)</w:t>
      </w:r>
    </w:p>
    <w:p w:rsidR="00000000" w:rsidDel="00000000" w:rsidP="00000000" w:rsidRDefault="00000000" w:rsidRPr="00000000" w14:paraId="00000044">
      <w:pPr>
        <w:rPr>
          <w:b w:val="1"/>
          <w:bCs w:val="1"/>
        </w:rPr>
      </w:pPr>
      <w:r w:rsidDel="00000000" w:rsidR="00000000" w:rsidRPr="00000000">
        <w:rPr>
          <w:b w:val="1"/>
          <w:bCs w:val="1"/>
          <w:rtl w:val="0"/>
        </w:rPr>
        <w:t xml:space="preserve">Headline: Bridging the Trust Gap: Traceability &amp; Explanation</w:t>
      </w:r>
    </w:p>
    <w:p w:rsidR="00000000" w:rsidDel="00000000" w:rsidP="00000000" w:rsidRDefault="00000000" w:rsidRPr="00000000" w14:paraId="00000045">
      <w:pPr>
        <w:rPr>
          <w:b w:val="1"/>
          <w:bCs w:val="1"/>
        </w:rPr>
      </w:pPr>
      <w:r w:rsidDel="00000000" w:rsidR="00000000" w:rsidRPr="00000000">
        <w:rPr>
          <w:b w:val="1"/>
          <w:bCs w:val="1"/>
          <w:rtl w:val="0"/>
        </w:rPr>
        <w:t xml:space="preserve">Rank 6: End-to-End Agentic RAG System for Traceable Diagnostic Reasoning (2025)</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Story Role:</w:t>
      </w:r>
      <w:r w:rsidDel="00000000" w:rsidR="00000000" w:rsidRPr="00000000">
        <w:rPr>
          <w:rtl w:val="0"/>
        </w:rPr>
        <w:t xml:space="preserve"> This research represents the "Climax" of the project's architectural narrative, addressing the critical "last mile" challenge of clinical adoption: trust. Addressing the inherent user skepticism toward "Black Box" AI, the study argues that acceptance is contingent upon the system's ability to "show its work" through a visible trajectory of Reasoning, Matching, and Diagnosis. By demonstrating that autonomous agents can be trained via reinforcement learning to explicitly justify their strategies, this work bridges the gap between raw computational power and the interpretability required by professionals. This shift moves the paradigm from mere prediction to the construction of a verifiable, evidentiary audit trail, directly supporting the implementation of a transparent diagnostic report and fulfilling the core promise of Explainable AI.</w:t>
      </w:r>
    </w:p>
    <w:p w:rsidR="00000000" w:rsidDel="00000000" w:rsidP="00000000" w:rsidRDefault="00000000" w:rsidRPr="00000000" w14:paraId="00000048">
      <w:pPr>
        <w:rPr>
          <w:b w:val="1"/>
          <w:bCs w:val="1"/>
        </w:rPr>
      </w:pPr>
      <w:r w:rsidDel="00000000" w:rsidR="00000000" w:rsidRPr="00000000">
        <w:rPr>
          <w:b w:val="1"/>
          <w:bCs w:val="1"/>
          <w:rtl w:val="0"/>
        </w:rPr>
        <w:t xml:space="preserve">Literature Review</w:t>
      </w:r>
    </w:p>
    <w:p w:rsidR="00000000" w:rsidDel="00000000" w:rsidP="00000000" w:rsidRDefault="00000000" w:rsidRPr="00000000" w14:paraId="00000049">
      <w:pPr>
        <w:rPr/>
      </w:pPr>
      <w:r w:rsidDel="00000000" w:rsidR="00000000" w:rsidRPr="00000000">
        <w:rPr>
          <w:b w:val="1"/>
          <w:bCs w:val="1"/>
          <w:rtl w:val="0"/>
        </w:rPr>
        <w:t xml:space="preserve">The Problem Statement</w:t>
      </w:r>
      <w:r w:rsidDel="00000000" w:rsidR="00000000" w:rsidRPr="00000000">
        <w:rPr>
          <w:rtl w:val="0"/>
        </w:rPr>
        <w:t xml:space="preserve"> The integration of Large Language Models (LLMs) into clinical workflows faces a persistent dual challenge: the "hallucination" of non-existent facts and the inherent limitations of static training data. While Retrieval-Augmented Generation (RAG) has been adopted to mitigate these issues, the authors identify a critical flaw in current implementations: they are predominantly "inference-only" systems. These traditional architectures rely on rigid, manually engaged retrieval workflows where the reasoning and searching processes are decoupled. Consequently, the models lack the agency to determine when external information is actually needed or how to adapt their search strategy when initial results are noisy or irrelevant. This disconnect results in fragile diagnostic trajectories that are opaque to the user and unable to withstand the complexity of real-world clinical ambiguity.</w:t>
      </w:r>
    </w:p>
    <w:p w:rsidR="00000000" w:rsidDel="00000000" w:rsidP="00000000" w:rsidRDefault="00000000" w:rsidRPr="00000000" w14:paraId="0000004A">
      <w:pPr>
        <w:rPr/>
      </w:pPr>
      <w:r w:rsidDel="00000000" w:rsidR="00000000" w:rsidRPr="00000000">
        <w:rPr>
          <w:b w:val="1"/>
          <w:bCs w:val="1"/>
          <w:rtl w:val="0"/>
        </w:rPr>
        <w:t xml:space="preserve">The Methodology/Approach</w:t>
      </w:r>
      <w:r w:rsidDel="00000000" w:rsidR="00000000" w:rsidRPr="00000000">
        <w:rPr>
          <w:rtl w:val="0"/>
        </w:rPr>
        <w:t xml:space="preserve"> To resolve these limitations, the researchers introduced "Deep-DxSearch," an agentic framework trained end-to-end using Reinforcement Learning (RL). Rather than relying on static prompt engineering, the methodology frames the diagnostic process as a sequential decision-making task. The LLM functions as an autonomous core agent, while a massive, heterogeneous medical corpus serves as the interactive environment.</w:t>
      </w:r>
    </w:p>
    <w:p w:rsidR="00000000" w:rsidDel="00000000" w:rsidP="00000000" w:rsidRDefault="00000000" w:rsidRPr="00000000" w14:paraId="0000004B">
      <w:pPr>
        <w:rPr/>
      </w:pPr>
      <w:r w:rsidDel="00000000" w:rsidR="00000000" w:rsidRPr="00000000">
        <w:rPr>
          <w:rtl w:val="0"/>
        </w:rPr>
        <w:t xml:space="preserve">The training utilized a Group Relative Policy Optimization (GRPO) algorithm, allowing the agent to learn optimal policies for interleaving reasoning and retrieval from large-scale data. A distinctive feature of this approach was the multi-stage reward system. The model was not solely optimized for final diagnostic accuracy; instead, it utilized a composite "soft reward" mechanism that evaluated the quality of the entire trajectory. This included rewards for strict format compliance, the diversity and relevance of patient case matching, the precision of knowledge search queries (token-level matching), and the logical coherence of the final diagnosis. This training structure forced the agent to balance information-seeking costs with decision quality.</w:t>
      </w:r>
    </w:p>
    <w:p w:rsidR="00000000" w:rsidDel="00000000" w:rsidP="00000000" w:rsidRDefault="00000000" w:rsidRPr="00000000" w14:paraId="0000004C">
      <w:pPr>
        <w:rPr/>
      </w:pPr>
      <w:r w:rsidDel="00000000" w:rsidR="00000000" w:rsidRPr="00000000">
        <w:rPr>
          <w:b w:val="1"/>
          <w:bCs w:val="1"/>
          <w:rtl w:val="0"/>
        </w:rPr>
        <w:t xml:space="preserve">Key Technologies or Concepts Introduced</w:t>
      </w:r>
      <w:r w:rsidDel="00000000" w:rsidR="00000000" w:rsidRPr="00000000">
        <w:rPr>
          <w:rtl w:val="0"/>
        </w:rPr>
        <w:t xml:space="preserve"> The study introduced several technological innovations to support "traceable" diagnostic reasoning:</w:t>
      </w:r>
    </w:p>
    <w:p w:rsidR="00000000" w:rsidDel="00000000" w:rsidP="00000000" w:rsidRDefault="00000000" w:rsidRPr="00000000" w14:paraId="0000004D">
      <w:pPr>
        <w:numPr>
          <w:ilvl w:val="0"/>
          <w:numId w:val="3"/>
        </w:numPr>
        <w:ind w:left="720" w:hanging="360"/>
        <w:rPr/>
      </w:pPr>
      <w:r w:rsidDel="00000000" w:rsidR="00000000" w:rsidRPr="00000000">
        <w:rPr>
          <w:b w:val="1"/>
          <w:bCs w:val="1"/>
          <w:rtl w:val="0"/>
        </w:rPr>
        <w:t xml:space="preserve">Agentic Action Space:</w:t>
      </w:r>
      <w:r w:rsidDel="00000000" w:rsidR="00000000" w:rsidRPr="00000000">
        <w:rPr>
          <w:rtl w:val="0"/>
        </w:rPr>
        <w:t xml:space="preserve"> The system operates through five discrete action modes—</w:t>
      </w:r>
      <w:r w:rsidDel="00000000" w:rsidR="00000000" w:rsidRPr="00000000">
        <w:rPr>
          <w:i w:val="1"/>
          <w:iCs w:val="1"/>
          <w:rtl w:val="0"/>
        </w:rPr>
        <w:t xml:space="preserve">reason</w:t>
      </w:r>
      <w:r w:rsidDel="00000000" w:rsidR="00000000" w:rsidRPr="00000000">
        <w:rPr>
          <w:rtl w:val="0"/>
        </w:rPr>
        <w:t xml:space="preserve"> (internal analysis), </w:t>
      </w:r>
      <w:r w:rsidDel="00000000" w:rsidR="00000000" w:rsidRPr="00000000">
        <w:rPr>
          <w:i w:val="1"/>
          <w:iCs w:val="1"/>
          <w:rtl w:val="0"/>
        </w:rPr>
        <w:t xml:space="preserve">lookup</w:t>
      </w:r>
      <w:r w:rsidDel="00000000" w:rsidR="00000000" w:rsidRPr="00000000">
        <w:rPr>
          <w:rtl w:val="0"/>
        </w:rPr>
        <w:t xml:space="preserve"> (checking disease guidelines), </w:t>
      </w:r>
      <w:r w:rsidDel="00000000" w:rsidR="00000000" w:rsidRPr="00000000">
        <w:rPr>
          <w:i w:val="1"/>
          <w:iCs w:val="1"/>
          <w:rtl w:val="0"/>
        </w:rPr>
        <w:t xml:space="preserve">match</w:t>
      </w:r>
      <w:r w:rsidDel="00000000" w:rsidR="00000000" w:rsidRPr="00000000">
        <w:rPr>
          <w:rtl w:val="0"/>
        </w:rPr>
        <w:t xml:space="preserve"> (finding similar patient cases), </w:t>
      </w:r>
      <w:r w:rsidDel="00000000" w:rsidR="00000000" w:rsidRPr="00000000">
        <w:rPr>
          <w:i w:val="1"/>
          <w:iCs w:val="1"/>
          <w:rtl w:val="0"/>
        </w:rPr>
        <w:t xml:space="preserve">search</w:t>
      </w:r>
      <w:r w:rsidDel="00000000" w:rsidR="00000000" w:rsidRPr="00000000">
        <w:rPr>
          <w:rtl w:val="0"/>
        </w:rPr>
        <w:t xml:space="preserve"> (querying general medical knowledge), and </w:t>
      </w:r>
      <w:r w:rsidDel="00000000" w:rsidR="00000000" w:rsidRPr="00000000">
        <w:rPr>
          <w:i w:val="1"/>
          <w:iCs w:val="1"/>
          <w:rtl w:val="0"/>
        </w:rPr>
        <w:t xml:space="preserve">diagnose</w:t>
      </w:r>
      <w:r w:rsidDel="00000000" w:rsidR="00000000" w:rsidRPr="00000000">
        <w:rPr>
          <w:rtl w:val="0"/>
        </w:rPr>
        <w:t xml:space="preserve"> (final decision). This structure forces the model to externalize its thought process.</w:t>
      </w:r>
    </w:p>
    <w:p w:rsidR="00000000" w:rsidDel="00000000" w:rsidP="00000000" w:rsidRDefault="00000000" w:rsidRPr="00000000" w14:paraId="0000004E">
      <w:pPr>
        <w:numPr>
          <w:ilvl w:val="0"/>
          <w:numId w:val="3"/>
        </w:numPr>
        <w:ind w:left="720" w:hanging="360"/>
        <w:rPr/>
      </w:pPr>
      <w:r w:rsidDel="00000000" w:rsidR="00000000" w:rsidRPr="00000000">
        <w:rPr>
          <w:b w:val="1"/>
          <w:bCs w:val="1"/>
          <w:rtl w:val="0"/>
        </w:rPr>
        <w:t xml:space="preserve">The Medical Retrieval Corpus:</w:t>
      </w:r>
      <w:r w:rsidDel="00000000" w:rsidR="00000000" w:rsidRPr="00000000">
        <w:rPr>
          <w:rtl w:val="0"/>
        </w:rPr>
        <w:t xml:space="preserve"> To support the agent, the authors constructed one of the largest medical retrieval environments to date, integrating over 16,000 disease guidelines, 177,000 structured patient records, and millions of biomedical documents from PubMed and textbooks.</w:t>
      </w:r>
    </w:p>
    <w:p w:rsidR="00000000" w:rsidDel="00000000" w:rsidP="00000000" w:rsidRDefault="00000000" w:rsidRPr="00000000" w14:paraId="0000004F">
      <w:pPr>
        <w:numPr>
          <w:ilvl w:val="0"/>
          <w:numId w:val="3"/>
        </w:numPr>
        <w:ind w:left="720" w:hanging="360"/>
        <w:rPr/>
      </w:pPr>
      <w:r w:rsidDel="00000000" w:rsidR="00000000" w:rsidRPr="00000000">
        <w:rPr>
          <w:b w:val="1"/>
          <w:bCs w:val="1"/>
          <w:rtl w:val="0"/>
        </w:rPr>
        <w:t xml:space="preserve">Interpretability Metrics:</w:t>
      </w:r>
      <w:r w:rsidDel="00000000" w:rsidR="00000000" w:rsidRPr="00000000">
        <w:rPr>
          <w:rtl w:val="0"/>
        </w:rPr>
        <w:t xml:space="preserve"> The research introduced novel metrics for quantifying explainability, such as "Irrelevance Exclusion" (the ability to ignore misleading data) and "Symptom Association" (the ability to link patient phenotypes to retrieved evidence), enabling a quantitative assessment of the system's reasoning transparency.</w:t>
      </w:r>
    </w:p>
    <w:p w:rsidR="00000000" w:rsidDel="00000000" w:rsidP="00000000" w:rsidRDefault="00000000" w:rsidRPr="00000000" w14:paraId="00000050">
      <w:pPr>
        <w:rPr/>
      </w:pPr>
      <w:r w:rsidDel="00000000" w:rsidR="00000000" w:rsidRPr="00000000">
        <w:rPr>
          <w:b w:val="1"/>
          <w:bCs w:val="1"/>
          <w:rtl w:val="0"/>
        </w:rPr>
        <w:t xml:space="preserve">The Conclusion/Impact</w:t>
      </w:r>
      <w:r w:rsidDel="00000000" w:rsidR="00000000" w:rsidRPr="00000000">
        <w:rPr>
          <w:rtl w:val="0"/>
        </w:rPr>
        <w:t xml:space="preserve"> The experimental results demonstrated that the end-to-end agentic approach significantly outperformed both general-purpose state-of-the-art models (including GPT-4o and DeepSeek-R1) and specialized medical systems across in-distribution and out-of-distribution datasets. The system showed remarkable robustness, particularly in diagnosing rare diseases where data is sparse.</w:t>
      </w:r>
    </w:p>
    <w:p w:rsidR="00000000" w:rsidDel="00000000" w:rsidP="00000000" w:rsidRDefault="00000000" w:rsidRPr="00000000" w14:paraId="00000051">
      <w:pPr>
        <w:rPr/>
      </w:pPr>
      <w:r w:rsidDel="00000000" w:rsidR="00000000" w:rsidRPr="00000000">
        <w:rPr>
          <w:rtl w:val="0"/>
        </w:rPr>
        <w:t xml:space="preserve">Crucially for the user experience, the study confirmed that the RL-trained agent progressively learned to construct transparent reasoning chains. By autonomously refining its queries and explicitly linking clinical observations to retrieved evidence, the system achieved a level of "glass-box" transparency that traditional methods lack. The authors conclude that moving away from human-designed heuristics toward learned, data-driven retrieval policies is essential for creating diagnostic tools that are not only accurate but also sufficiently explainable to earn clinician trust.</w:t>
      </w:r>
    </w:p>
    <w:p w:rsidR="00000000" w:rsidDel="00000000" w:rsidP="00000000" w:rsidRDefault="00000000" w:rsidRPr="00000000" w14:paraId="00000052">
      <w:pP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History and context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2003 paper</w:t>
      </w:r>
    </w:p>
    <w:p w:rsidR="00000000" w:rsidDel="00000000" w:rsidP="00000000" w:rsidRDefault="00000000" w:rsidRPr="00000000" w14:paraId="00000055">
      <w:pPr>
        <w:rPr>
          <w:b w:val="1"/>
          <w:bCs w:val="1"/>
          <w:i w:val="1"/>
          <w:iCs w:val="1"/>
          <w:color w:val="ee0000"/>
        </w:rPr>
      </w:pPr>
      <w:r w:rsidDel="00000000" w:rsidR="00000000" w:rsidRPr="00000000">
        <w:rPr>
          <w:b w:val="1"/>
          <w:bCs w:val="1"/>
          <w:i w:val="1"/>
          <w:iCs w:val="1"/>
          <w:color w:val="ee0000"/>
          <w:rtl w:val="0"/>
        </w:rPr>
        <w:t xml:space="preserve">Best papers to rely on (implementation and usage in literature) </w:t>
      </w:r>
      <w:r w:rsidDel="00000000" w:rsidR="00000000" w:rsidRPr="00000000">
        <w:rPr>
          <w:b w:val="1"/>
          <w:bCs w:val="1"/>
          <w:i w:val="1"/>
          <w:iCs w:val="1"/>
          <w:color w:val="ee0000"/>
          <w:rtl w:val="0"/>
        </w:rPr>
        <w:t xml:space="preserve">🡪 use gemini convo SH REQUIREMENT</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1"/>
          <w:iCs w:val="1"/>
          <w:smallCaps w:val="0"/>
          <w:strike w:val="0"/>
          <w:color w:val="ee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24"/>
          <w:szCs w:val="24"/>
          <w:u w:val="none"/>
          <w:shd w:fill="auto" w:val="clear"/>
          <w:vertAlign w:val="baseline"/>
          <w:rtl w:val="0"/>
        </w:rPr>
        <w:t xml:space="preserve">Evaluating LLMs (way of prompting LLM to solve a problem)</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libri" w:cs="Calibri" w:eastAsia="Calibri" w:hAnsi="Calibri"/>
          <w:b w:val="0"/>
          <w:bCs w:val="0"/>
          <w:i w:val="1"/>
          <w:iCs w:val="1"/>
          <w:smallCaps w:val="0"/>
          <w:strike w:val="0"/>
          <w:color w:val="ee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24"/>
          <w:szCs w:val="24"/>
          <w:u w:val="none"/>
          <w:shd w:fill="auto" w:val="clear"/>
          <w:vertAlign w:val="baseline"/>
          <w:rtl w:val="0"/>
        </w:rPr>
        <w:t xml:space="preserve">MegaAgent: A Large-Scale Autonomous LLM-based Multi-Agent System (to make an orchestration of agents that solve multiple problems of a one big complex problem but needs to be scaled down)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libri" w:cs="Calibri" w:eastAsia="Calibri" w:hAnsi="Calibri"/>
          <w:b w:val="0"/>
          <w:bCs w:val="0"/>
          <w:i w:val="1"/>
          <w:iCs w:val="1"/>
          <w:smallCaps w:val="0"/>
          <w:strike w:val="0"/>
          <w:color w:val="ee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ee0000"/>
          <w:sz w:val="24"/>
          <w:szCs w:val="24"/>
          <w:u w:val="none"/>
          <w:shd w:fill="auto" w:val="clear"/>
          <w:vertAlign w:val="baseline"/>
          <w:rtl w:val="0"/>
        </w:rPr>
        <w:t xml:space="preserve">Repair agent for software solutions and how to act with other tools to solve a problem</w:t>
      </w:r>
    </w:p>
    <w:p w:rsidR="00000000" w:rsidDel="00000000" w:rsidP="00000000" w:rsidRDefault="00000000" w:rsidRPr="00000000" w14:paraId="00000059">
      <w:pPr>
        <w:rPr>
          <w:b w:val="1"/>
          <w:bCs w:val="1"/>
        </w:rPr>
      </w:pPr>
      <w:r w:rsidDel="00000000" w:rsidR="00000000" w:rsidRPr="00000000">
        <w:rPr>
          <w:b w:val="1"/>
          <w:bCs w:val="1"/>
          <w:rtl w:val="0"/>
        </w:rPr>
        <w:t xml:space="preserve">Second hand papers (if I use RAG, not necessary to use)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rethinking parametric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End-to-End Agentic RAG System for Traceable Diagnostic Reasoning (2025)</w:t>
      </w:r>
    </w:p>
    <w:p w:rsidR="00000000" w:rsidDel="00000000" w:rsidP="00000000" w:rsidRDefault="00000000" w:rsidRPr="00000000" w14:paraId="0000005C">
      <w:pPr>
        <w:rPr/>
      </w:pP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34F5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34F5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34F5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34F5A"/>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34F5A"/>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34F5A"/>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34F5A"/>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34F5A"/>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34F5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34F5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34F5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34F5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34F5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34F5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34F5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34F5A"/>
    <w:rPr>
      <w:i w:val="1"/>
      <w:iCs w:val="1"/>
      <w:color w:val="404040" w:themeColor="text1" w:themeTint="0000BF"/>
    </w:rPr>
  </w:style>
  <w:style w:type="paragraph" w:styleId="ListParagraph">
    <w:name w:val="List Paragraph"/>
    <w:basedOn w:val="Normal"/>
    <w:uiPriority w:val="34"/>
    <w:qFormat w:val="1"/>
    <w:rsid w:val="00034F5A"/>
    <w:pPr>
      <w:ind w:left="720"/>
      <w:contextualSpacing w:val="1"/>
    </w:pPr>
  </w:style>
  <w:style w:type="character" w:styleId="IntenseEmphasis">
    <w:name w:val="Intense Emphasis"/>
    <w:basedOn w:val="DefaultParagraphFont"/>
    <w:uiPriority w:val="21"/>
    <w:qFormat w:val="1"/>
    <w:rsid w:val="00034F5A"/>
    <w:rPr>
      <w:i w:val="1"/>
      <w:iCs w:val="1"/>
      <w:color w:val="2f5496" w:themeColor="accent1" w:themeShade="0000BF"/>
    </w:rPr>
  </w:style>
  <w:style w:type="paragraph" w:styleId="IntenseQuote">
    <w:name w:val="Intense Quote"/>
    <w:basedOn w:val="Normal"/>
    <w:next w:val="Normal"/>
    <w:link w:val="IntenseQuoteChar"/>
    <w:uiPriority w:val="30"/>
    <w:qFormat w:val="1"/>
    <w:rsid w:val="00034F5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34F5A"/>
    <w:rPr>
      <w:i w:val="1"/>
      <w:iCs w:val="1"/>
      <w:color w:val="2f5496" w:themeColor="accent1" w:themeShade="0000BF"/>
    </w:rPr>
  </w:style>
  <w:style w:type="character" w:styleId="IntenseReference">
    <w:name w:val="Intense Reference"/>
    <w:basedOn w:val="DefaultParagraphFont"/>
    <w:uiPriority w:val="32"/>
    <w:qFormat w:val="1"/>
    <w:rsid w:val="00034F5A"/>
    <w:rPr>
      <w:b w:val="1"/>
      <w:bCs w:val="1"/>
      <w:smallCaps w:val="1"/>
      <w:color w:val="2f5496" w:themeColor="accent1" w:themeShade="0000BF"/>
      <w:spacing w:val="5"/>
    </w:rPr>
  </w:style>
  <w:style w:type="paragraph" w:styleId="NormalWeb">
    <w:name w:val="Normal (Web)"/>
    <w:basedOn w:val="Normal"/>
    <w:uiPriority w:val="99"/>
    <w:semiHidden w:val="1"/>
    <w:unhideWhenUsed w:val="1"/>
    <w:rsid w:val="005660B2"/>
    <w:pPr>
      <w:spacing w:after="100" w:afterAutospacing="1" w:before="100" w:beforeAutospacing="1" w:line="240" w:lineRule="auto"/>
    </w:pPr>
    <w:rPr>
      <w:rFonts w:ascii="Times New Roman" w:cs="Times New Roman" w:eastAsia="Times New Roman" w:hAnsi="Times New Roman"/>
      <w:kern w:val="0"/>
    </w:rPr>
  </w:style>
  <w:style w:type="character" w:styleId="Strong">
    <w:name w:val="Strong"/>
    <w:basedOn w:val="DefaultParagraphFont"/>
    <w:uiPriority w:val="22"/>
    <w:qFormat w:val="1"/>
    <w:rsid w:val="005660B2"/>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9EHpcK0e3edR5EtaepBMhJgw==">CgMxLjA4AHIhMWl0UzNSUkdoRVp0QVdSbDdCc1QyNk04azliUG5KTUww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2026-02-08T21:25:00Z</dcterms:created>
  <dc:creator>nour maher</dc:creator>
</cp:coreProperties>
</file>