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b/>
          <w:color w:val="1C7C83"/>
          <w:sz w:val="20"/>
        </w:rPr>
        <w:t>ENGINEERING STANDARD</w:t>
      </w:r>
    </w:p>
    <w:p>
      <w:pPr>
        <w:pStyle w:val="Title"/>
      </w:pPr>
      <w:r>
        <w:t>Frontend Agent Rules</w:t>
      </w:r>
    </w:p>
    <w:p>
      <w:r>
        <w:rPr>
          <w:color w:val="526579"/>
          <w:sz w:val="32"/>
        </w:rPr>
        <w:t>Smart Enrichment Queue</w:t>
      </w:r>
    </w:p>
    <w:p>
      <w:r>
        <w:t>Repository-ready standards for AI coding agents building accessible, reliable, maintainable React interfaces—not merely visually plausible screens.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Chosen stack</w:t>
            </w:r>
          </w:p>
        </w:tc>
        <w:tc>
          <w:tcPr>
            <w:tcW w:type="dxa" w:w="5616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4464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React · TypeScript · Vite · Tailwind CSS · shadcn/ui · TanStack Query · React Hook Form · Zod · Vitest · React Testing Library · Playwright</w:t>
            </w:r>
          </w:p>
        </w:tc>
        <w:tc>
          <w:tcPr>
            <w:tcW w:type="dxa" w:w="561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consistent, accessible, responsive UI with explicit states, validated forms, typed API boundaries, and tested user workflows.</w:t>
            </w:r>
          </w:p>
        </w:tc>
      </w:tr>
    </w:tbl>
    <w:p>
      <w:pPr>
        <w:spacing w:after="20"/>
      </w:pPr>
    </w:p>
    <w:p>
      <w:pPr>
        <w:pStyle w:val="Heading1"/>
      </w:pPr>
      <w:r>
        <w:t>1. Non-negotiable rules</w:t>
      </w:r>
    </w:p>
    <w:p>
      <w:pPr>
        <w:pStyle w:val="ListBullet"/>
        <w:spacing w:after="40"/>
      </w:pPr>
      <w:r>
        <w:t>Read the existing frontend code, package scripts, design conventions, routes, API client, tests, and project instructions before editing.</w:t>
      </w:r>
    </w:p>
    <w:p>
      <w:pPr>
        <w:pStyle w:val="ListBullet"/>
        <w:spacing w:after="40"/>
      </w:pPr>
      <w:r>
        <w:t>Make the smallest complete change. Do not rewrite unrelated components, replace the design system, or add dependencies without a concrete reason.</w:t>
      </w:r>
    </w:p>
    <w:p>
      <w:pPr>
        <w:pStyle w:val="ListBullet"/>
        <w:spacing w:after="40"/>
      </w:pPr>
      <w:r>
        <w:t>Do not fabricate API data, pretend mutations succeeded, or leave mock behavior in production paths without clearly labeling it as demo behavior.</w:t>
      </w:r>
    </w:p>
    <w:p>
      <w:pPr>
        <w:pStyle w:val="ListBullet"/>
        <w:spacing w:after="40"/>
      </w:pPr>
      <w:r>
        <w:t>Never claim tests, type-checks, lint, builds, or browser checks passed unless you ran them and inspected their results.</w:t>
      </w:r>
    </w:p>
    <w:p>
      <w:pPr>
        <w:pStyle w:val="ListBullet"/>
        <w:spacing w:after="40"/>
      </w:pPr>
      <w:r>
        <w:t>Prefer clarity, accessibility, consistent interaction patterns, and correctness over visual effects or clever abstractions.</w:t>
      </w:r>
    </w:p>
    <w:p>
      <w:pPr>
        <w:pStyle w:val="ListBullet"/>
        <w:spacing w:after="40"/>
      </w:pPr>
      <w:r>
        <w:t>Do not introduce dead code, console debugging, unexplained TODOs, ignored TypeScript errors, or unrelated formatting churn.</w:t>
      </w:r>
    </w:p>
    <w:p>
      <w:pPr>
        <w:pStyle w:val="ListBullet"/>
        <w:spacing w:after="40"/>
      </w:pPr>
      <w:r>
        <w:t>Keep UI behavior consistent with backend contracts. If an API contract is insufficient, identify the gap instead of silently working around it.</w:t>
      </w:r>
    </w:p>
    <w:p>
      <w:pPr>
        <w:pStyle w:val="Heading1"/>
      </w:pPr>
      <w:r>
        <w:t>2. Component architecture and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032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4176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Avoid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Pages/routes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Compose page-level layouts and feature entry points.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Business logic, giant JSX trees, direct repeated fetch code.</w:t>
            </w:r>
          </w:p>
        </w:tc>
      </w:tr>
      <w:tr>
        <w:tc>
          <w:tcPr>
            <w:tcW w:type="dxa" w:w="1872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Feature components</w:t>
            </w:r>
          </w:p>
        </w:tc>
        <w:tc>
          <w:tcPr>
            <w:tcW w:type="dxa" w:w="4032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Own a cohesive part of companies, preferences, scoring, or queue UX.</w:t>
            </w:r>
          </w:p>
        </w:tc>
        <w:tc>
          <w:tcPr>
            <w:tcW w:type="dxa" w:w="4176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Unrelated feature responsibilities.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Shared UI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Reusable buttons, dialogs, tables, inputs, badges, empty states.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Business-specific assumptions in generic components.</w:t>
            </w:r>
          </w:p>
        </w:tc>
      </w:tr>
      <w:tr>
        <w:tc>
          <w:tcPr>
            <w:tcW w:type="dxa" w:w="1872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Hooks</w:t>
            </w:r>
          </w:p>
        </w:tc>
        <w:tc>
          <w:tcPr>
            <w:tcW w:type="dxa" w:w="4032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Reusable stateful UI logic and feature orchestration.</w:t>
            </w:r>
          </w:p>
        </w:tc>
        <w:tc>
          <w:tcPr>
            <w:tcW w:type="dxa" w:w="4176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Hidden global side effects or duplicated server-state caches.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API client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Typed HTTP methods, request setup, response parsing, normalized errors.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Direct fetch calls scattered through components.</w:t>
            </w:r>
          </w:p>
        </w:tc>
      </w:tr>
      <w:tr>
        <w:tc>
          <w:tcPr>
            <w:tcW w:type="dxa" w:w="1872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Schemas/types</w:t>
            </w:r>
          </w:p>
        </w:tc>
        <w:tc>
          <w:tcPr>
            <w:tcW w:type="dxa" w:w="4032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Zod validation for user input and explicit API contract types.</w:t>
            </w:r>
          </w:p>
        </w:tc>
        <w:tc>
          <w:tcPr>
            <w:tcW w:type="dxa" w:w="4176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Using type assertions as a substitute for runtime validation.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Server state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TanStack Query queries, mutations, cache invalidation.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Duplicating server data in several useState stores.</w:t>
            </w:r>
          </w:p>
        </w:tc>
      </w:tr>
    </w:tbl>
    <w:p>
      <w:pPr>
        <w:spacing w:after="20"/>
      </w:pPr>
    </w:p>
    <w:p>
      <w:pPr>
        <w:pStyle w:val="Heading2"/>
      </w:pPr>
      <w:r>
        <w:t>Suggested feature layout</w:t>
      </w:r>
    </w:p>
    <w:p>
      <w:pPr>
        <w:spacing w:after="100"/>
        <w:ind w:left="216" w:right="144"/>
        <w:shd w:fill="F2F6F8"/>
      </w:pPr>
      <w:r>
        <w:rPr>
          <w:rFonts w:ascii="Consolas" w:hAnsi="Consolas"/>
          <w:color w:val="17324D"/>
          <w:sz w:val="15"/>
        </w:rPr>
        <w:t>src/</w:t>
      </w:r>
      <w:r>
        <w:br/>
      </w:r>
      <w:r>
        <w:rPr>
          <w:rFonts w:ascii="Consolas" w:hAnsi="Consolas"/>
          <w:color w:val="17324D"/>
          <w:sz w:val="15"/>
        </w:rPr>
        <w:t xml:space="preserve">  app/</w:t>
      </w:r>
      <w:r>
        <w:br/>
      </w:r>
      <w:r>
        <w:rPr>
          <w:rFonts w:ascii="Consolas" w:hAnsi="Consolas"/>
          <w:color w:val="17324D"/>
          <w:sz w:val="15"/>
        </w:rPr>
        <w:t xml:space="preserve">    App.tsx</w:t>
      </w:r>
      <w:r>
        <w:br/>
      </w:r>
      <w:r>
        <w:rPr>
          <w:rFonts w:ascii="Consolas" w:hAnsi="Consolas"/>
          <w:color w:val="17324D"/>
          <w:sz w:val="15"/>
        </w:rPr>
        <w:t xml:space="preserve">    router.tsx</w:t>
      </w:r>
      <w:r>
        <w:br/>
      </w:r>
      <w:r>
        <w:rPr>
          <w:rFonts w:ascii="Consolas" w:hAnsi="Consolas"/>
          <w:color w:val="17324D"/>
          <w:sz w:val="15"/>
        </w:rPr>
        <w:t xml:space="preserve">    providers.tsx</w:t>
      </w:r>
      <w:r>
        <w:br/>
      </w:r>
      <w:r>
        <w:rPr>
          <w:rFonts w:ascii="Consolas" w:hAnsi="Consolas"/>
          <w:color w:val="17324D"/>
          <w:sz w:val="15"/>
        </w:rPr>
        <w:t xml:space="preserve">  components/</w:t>
      </w:r>
      <w:r>
        <w:br/>
      </w:r>
      <w:r>
        <w:rPr>
          <w:rFonts w:ascii="Consolas" w:hAnsi="Consolas"/>
          <w:color w:val="17324D"/>
          <w:sz w:val="15"/>
        </w:rPr>
        <w:t xml:space="preserve">    ui/                  # shadcn/ui primitives</w:t>
      </w:r>
      <w:r>
        <w:br/>
      </w:r>
      <w:r>
        <w:rPr>
          <w:rFonts w:ascii="Consolas" w:hAnsi="Consolas"/>
          <w:color w:val="17324D"/>
          <w:sz w:val="15"/>
        </w:rPr>
        <w:t xml:space="preserve">    shared/              # app-wide composed components</w:t>
      </w:r>
      <w:r>
        <w:br/>
      </w:r>
      <w:r>
        <w:rPr>
          <w:rFonts w:ascii="Consolas" w:hAnsi="Consolas"/>
          <w:color w:val="17324D"/>
          <w:sz w:val="15"/>
        </w:rPr>
        <w:t xml:space="preserve">  features/</w:t>
      </w:r>
      <w:r>
        <w:br/>
      </w:r>
      <w:r>
        <w:rPr>
          <w:rFonts w:ascii="Consolas" w:hAnsi="Consolas"/>
          <w:color w:val="17324D"/>
          <w:sz w:val="15"/>
        </w:rPr>
        <w:t xml:space="preserve">    companies/</w:t>
      </w:r>
      <w:r>
        <w:br/>
      </w:r>
      <w:r>
        <w:rPr>
          <w:rFonts w:ascii="Consolas" w:hAnsi="Consolas"/>
          <w:color w:val="17324D"/>
          <w:sz w:val="15"/>
        </w:rPr>
        <w:t xml:space="preserve">      api.ts</w:t>
      </w:r>
      <w:r>
        <w:br/>
      </w:r>
      <w:r>
        <w:rPr>
          <w:rFonts w:ascii="Consolas" w:hAnsi="Consolas"/>
          <w:color w:val="17324D"/>
          <w:sz w:val="15"/>
        </w:rPr>
        <w:t xml:space="preserve">      hooks.ts</w:t>
      </w:r>
      <w:r>
        <w:br/>
      </w:r>
      <w:r>
        <w:rPr>
          <w:rFonts w:ascii="Consolas" w:hAnsi="Consolas"/>
          <w:color w:val="17324D"/>
          <w:sz w:val="15"/>
        </w:rPr>
        <w:t xml:space="preserve">      schemas.ts</w:t>
      </w:r>
      <w:r>
        <w:br/>
      </w:r>
      <w:r>
        <w:rPr>
          <w:rFonts w:ascii="Consolas" w:hAnsi="Consolas"/>
          <w:color w:val="17324D"/>
          <w:sz w:val="15"/>
        </w:rPr>
        <w:t xml:space="preserve">      components/</w:t>
      </w:r>
      <w:r>
        <w:br/>
      </w:r>
      <w:r>
        <w:rPr>
          <w:rFonts w:ascii="Consolas" w:hAnsi="Consolas"/>
          <w:color w:val="17324D"/>
          <w:sz w:val="15"/>
        </w:rPr>
        <w:t xml:space="preserve">      pages/</w:t>
      </w:r>
      <w:r>
        <w:br/>
      </w:r>
      <w:r>
        <w:rPr>
          <w:rFonts w:ascii="Consolas" w:hAnsi="Consolas"/>
          <w:color w:val="17324D"/>
          <w:sz w:val="15"/>
        </w:rPr>
        <w:t xml:space="preserve">    preferences/</w:t>
      </w:r>
      <w:r>
        <w:br/>
      </w:r>
      <w:r>
        <w:rPr>
          <w:rFonts w:ascii="Consolas" w:hAnsi="Consolas"/>
          <w:color w:val="17324D"/>
          <w:sz w:val="15"/>
        </w:rPr>
        <w:t xml:space="preserve">    scoring/</w:t>
      </w:r>
      <w:r>
        <w:br/>
      </w:r>
      <w:r>
        <w:rPr>
          <w:rFonts w:ascii="Consolas" w:hAnsi="Consolas"/>
          <w:color w:val="17324D"/>
          <w:sz w:val="15"/>
        </w:rPr>
        <w:t xml:space="preserve">    queue/</w:t>
      </w:r>
      <w:r>
        <w:br/>
      </w:r>
      <w:r>
        <w:rPr>
          <w:rFonts w:ascii="Consolas" w:hAnsi="Consolas"/>
          <w:color w:val="17324D"/>
          <w:sz w:val="15"/>
        </w:rPr>
        <w:t xml:space="preserve">  lib/</w:t>
      </w:r>
      <w:r>
        <w:br/>
      </w:r>
      <w:r>
        <w:rPr>
          <w:rFonts w:ascii="Consolas" w:hAnsi="Consolas"/>
          <w:color w:val="17324D"/>
          <w:sz w:val="15"/>
        </w:rPr>
        <w:t xml:space="preserve">    api-client.ts</w:t>
      </w:r>
      <w:r>
        <w:br/>
      </w:r>
      <w:r>
        <w:rPr>
          <w:rFonts w:ascii="Consolas" w:hAnsi="Consolas"/>
          <w:color w:val="17324D"/>
          <w:sz w:val="15"/>
        </w:rPr>
        <w:t xml:space="preserve">    query-client.ts</w:t>
      </w:r>
      <w:r>
        <w:br/>
      </w:r>
      <w:r>
        <w:rPr>
          <w:rFonts w:ascii="Consolas" w:hAnsi="Consolas"/>
          <w:color w:val="17324D"/>
          <w:sz w:val="15"/>
        </w:rPr>
        <w:t xml:space="preserve">    utils.ts</w:t>
      </w:r>
      <w:r>
        <w:br/>
      </w:r>
      <w:r>
        <w:rPr>
          <w:rFonts w:ascii="Consolas" w:hAnsi="Consolas"/>
          <w:color w:val="17324D"/>
          <w:sz w:val="15"/>
        </w:rPr>
        <w:t xml:space="preserve">  styles/</w:t>
      </w:r>
      <w:r>
        <w:br/>
      </w:r>
      <w:r>
        <w:rPr>
          <w:rFonts w:ascii="Consolas" w:hAnsi="Consolas"/>
          <w:color w:val="17324D"/>
          <w:sz w:val="15"/>
        </w:rPr>
        <w:t xml:space="preserve">  test/</w:t>
      </w:r>
      <w:r>
        <w:br/>
      </w:r>
      <w:r>
        <w:rPr>
          <w:rFonts w:ascii="Consolas" w:hAnsi="Consolas"/>
          <w:color w:val="17324D"/>
          <w:sz w:val="15"/>
        </w:rPr>
        <w:t xml:space="preserve">  types/</w:t>
      </w:r>
    </w:p>
    <w:p>
      <w:r>
        <w:t>Adapt this layout to the existing repository. Do not create empty folders or split a tiny feature across files merely to match a template.</w:t>
      </w:r>
    </w:p>
    <w:p>
      <w:pPr>
        <w:pStyle w:val="Heading1"/>
      </w:pPr>
      <w:r>
        <w:t>3. React and TypeScript standards</w:t>
      </w:r>
    </w:p>
    <w:p>
      <w:pPr>
        <w:pStyle w:val="ListBullet"/>
        <w:spacing w:after="40"/>
      </w:pPr>
      <w:r>
        <w:t>Use function components and hooks. Keep components focused on one clear responsibility and extract complex logic when it improves readability or testability.</w:t>
      </w:r>
    </w:p>
    <w:p>
      <w:pPr>
        <w:pStyle w:val="ListBullet"/>
        <w:spacing w:after="40"/>
      </w:pPr>
      <w:r>
        <w:t>Enable strict TypeScript. Avoid any, unjustified type assertions, @ts-ignore, and non-null assertions.</w:t>
      </w:r>
    </w:p>
    <w:p>
      <w:pPr>
        <w:pStyle w:val="ListBullet"/>
        <w:spacing w:after="40"/>
      </w:pPr>
      <w:r>
        <w:t>Define explicit prop types for reusable/public components. Prefer discriminated unions for mutually exclusive component states and finite variants.</w:t>
      </w:r>
    </w:p>
    <w:p>
      <w:pPr>
        <w:pStyle w:val="ListBullet"/>
        <w:spacing w:after="40"/>
      </w:pPr>
      <w:r>
        <w:t>Do not duplicate API response interfaces in many files. Keep API contracts in one appropriate feature or shared boundary.</w:t>
      </w:r>
    </w:p>
    <w:p>
      <w:pPr>
        <w:pStyle w:val="ListBullet"/>
        <w:spacing w:after="40"/>
      </w:pPr>
      <w:r>
        <w:t>Do not use array indexes as keys for reorderable or stateful lists; use stable record IDs.</w:t>
      </w:r>
    </w:p>
    <w:p>
      <w:pPr>
        <w:pStyle w:val="ListBullet"/>
        <w:spacing w:after="40"/>
      </w:pPr>
      <w:r>
        <w:t>Keep derived values derived. Avoid useState plus useEffect for values that can be computed directly or with useMemo when measurement justifies it.</w:t>
      </w:r>
    </w:p>
    <w:p>
      <w:pPr>
        <w:pStyle w:val="ListBullet"/>
        <w:spacing w:after="40"/>
      </w:pPr>
      <w:r>
        <w:t>Use useEffect only to synchronize with external systems, subscriptions, or browser APIs—not as a default way to coordinate component state.</w:t>
      </w:r>
    </w:p>
    <w:p>
      <w:pPr>
        <w:pStyle w:val="ListBullet"/>
        <w:spacing w:after="40"/>
      </w:pPr>
      <w:r>
        <w:t>Memoize callbacks and components only when needed for correctness or measured performance; avoid cargo-cult useMemo/useCallback.</w:t>
      </w:r>
    </w:p>
    <w:p>
      <w:pPr>
        <w:pStyle w:val="ListBullet"/>
        <w:spacing w:after="40"/>
      </w:pPr>
      <w:r>
        <w:t>Keep components free of unrelated side effects. Clean up subscriptions, event listeners, and async work where appropriate.</w:t>
      </w:r>
    </w:p>
    <w:p>
      <w:pPr>
        <w:pStyle w:val="ListBullet"/>
        <w:spacing w:after="40"/>
      </w:pPr>
      <w:r>
        <w:t>Do not mutate props, state, query results, or shared objects. Use immutable updates.</w:t>
      </w:r>
    </w:p>
    <w:p>
      <w:pPr>
        <w:pStyle w:val="ListBullet"/>
        <w:spacing w:after="40"/>
      </w:pPr>
      <w:r>
        <w:t>Use semantic HTML elements and native controls where appropriate. Do not build a custom control when a reliable accessible primitive already exists.</w:t>
      </w:r>
    </w:p>
    <w:p>
      <w:pPr>
        <w:pStyle w:val="Heading1"/>
      </w:pPr>
      <w:r>
        <w:t>4. API integration and server state</w:t>
      </w:r>
    </w:p>
    <w:p>
      <w:pPr>
        <w:pStyle w:val="ListBullet"/>
        <w:spacing w:after="40"/>
      </w:pPr>
      <w:r>
        <w:t>Route all HTTP requests through a shared typed API client. Do not scatter ad hoc fetch/axios setup through page components.</w:t>
      </w:r>
    </w:p>
    <w:p>
      <w:pPr>
        <w:pStyle w:val="ListBullet"/>
        <w:spacing w:after="40"/>
      </w:pPr>
      <w:r>
        <w:t>Treat network responses as runtime data. TypeScript types do not validate JSON; use Zod parsing where contract safety warrants it, especially at critical boundaries.</w:t>
      </w:r>
    </w:p>
    <w:p>
      <w:pPr>
        <w:pStyle w:val="ListBullet"/>
        <w:spacing w:after="40"/>
      </w:pPr>
      <w:r>
        <w:t>Use TanStack Query for server state, including query keys, loading/error states, mutations, and cache invalidation.</w:t>
      </w:r>
    </w:p>
    <w:p>
      <w:pPr>
        <w:pStyle w:val="ListBullet"/>
        <w:spacing w:after="40"/>
      </w:pPr>
      <w:r>
        <w:t>Create stable, structured query keys that include relevant filters, pagination, and user context where applicable.</w:t>
      </w:r>
    </w:p>
    <w:p>
      <w:pPr>
        <w:pStyle w:val="ListBullet"/>
        <w:spacing w:after="40"/>
      </w:pPr>
      <w:r>
        <w:t>Invalidate or update affected queries after mutations. Do not rely on manual page refreshes to make changes appear.</w:t>
      </w:r>
    </w:p>
    <w:p>
      <w:pPr>
        <w:pStyle w:val="ListBullet"/>
        <w:spacing w:after="40"/>
      </w:pPr>
      <w:r>
        <w:t>Handle request cancellation or stale responses appropriately for rapidly changing search/filter inputs.</w:t>
      </w:r>
    </w:p>
    <w:p>
      <w:pPr>
        <w:pStyle w:val="ListBullet"/>
        <w:spacing w:after="40"/>
      </w:pPr>
      <w:r>
        <w:t>Debounce expensive search requests where it improves UX, while keeping the visible filter state clear.</w:t>
      </w:r>
    </w:p>
    <w:p>
      <w:pPr>
        <w:pStyle w:val="ListBullet"/>
        <w:spacing w:after="40"/>
      </w:pPr>
      <w:r>
        <w:t>Never show success before the server confirms success. On mutation failure, display an actionable error and preserve user input when safe.</w:t>
      </w:r>
    </w:p>
    <w:p>
      <w:pPr>
        <w:pStyle w:val="ListBullet"/>
        <w:spacing w:after="40"/>
      </w:pPr>
      <w:r>
        <w:t>Distinguish empty results from loading, failed requests, and missing records.</w:t>
      </w:r>
    </w:p>
    <w:p>
      <w:pPr>
        <w:pStyle w:val="ListBullet"/>
        <w:spacing w:after="40"/>
      </w:pPr>
      <w:r>
        <w:t>Do not hardcode production API URLs. Use validated build-time configuration and document required environment variables.</w:t>
      </w:r>
    </w:p>
    <w:p>
      <w:pPr>
        <w:pStyle w:val="Heading1"/>
      </w:pPr>
      <w:r>
        <w:t>5. Forms and validation</w:t>
      </w:r>
    </w:p>
    <w:p>
      <w:pPr>
        <w:pStyle w:val="ListBullet"/>
        <w:spacing w:after="40"/>
      </w:pPr>
      <w:r>
        <w:t>Use React Hook Form and Zod for non-trivial forms; simple native controls may use local state when appropriate.</w:t>
      </w:r>
    </w:p>
    <w:p>
      <w:pPr>
        <w:pStyle w:val="ListBullet"/>
        <w:spacing w:after="40"/>
      </w:pPr>
      <w:r>
        <w:t>Validate on the client for usability, but treat backend validation as authoritative. Match server constraints when known.</w:t>
      </w:r>
    </w:p>
    <w:p>
      <w:pPr>
        <w:pStyle w:val="ListBullet"/>
        <w:spacing w:after="40"/>
      </w:pPr>
      <w:r>
        <w:t>Show field-level messages near the relevant input and a form-level message for request failures.</w:t>
      </w:r>
    </w:p>
    <w:p>
      <w:pPr>
        <w:pStyle w:val="ListBullet"/>
        <w:spacing w:after="40"/>
      </w:pPr>
      <w:r>
        <w:t>Keep labels, help text, errors, and input IDs correctly associated. Do not rely on placeholder text as the only label.</w:t>
      </w:r>
    </w:p>
    <w:p>
      <w:pPr>
        <w:pStyle w:val="ListBullet"/>
        <w:spacing w:after="40"/>
      </w:pPr>
      <w:r>
        <w:t>Prevent accidental duplicate submissions; show pending state and disable only controls whose action is currently unsafe.</w:t>
      </w:r>
    </w:p>
    <w:p>
      <w:pPr>
        <w:pStyle w:val="ListBullet"/>
        <w:spacing w:after="40"/>
      </w:pPr>
      <w:r>
        <w:t>Do not silently clamp or rewrite user values unless the behavior is clearly communicated.</w:t>
      </w:r>
    </w:p>
    <w:p>
      <w:pPr>
        <w:pStyle w:val="ListBullet"/>
        <w:spacing w:after="40"/>
      </w:pPr>
      <w:r>
        <w:t>For weight controls, define valid bounds, make total-weight behavior explicit, and handle all-zero weights clearly.</w:t>
      </w:r>
    </w:p>
    <w:p>
      <w:pPr>
        <w:pStyle w:val="ListBullet"/>
        <w:spacing w:after="40"/>
      </w:pPr>
      <w:r>
        <w:t>Preview scoring preferences before save if the workflow promises preview. Do not persist preview-only changes unintentionally.</w:t>
      </w:r>
    </w:p>
    <w:p>
      <w:pPr>
        <w:pStyle w:val="ListBullet"/>
        <w:spacing w:after="40"/>
      </w:pPr>
      <w:r>
        <w:t>Preserve form values after recoverable API errors. Reset only after a confirmed successful save or explicit user action.</w:t>
      </w:r>
    </w:p>
    <w:p>
      <w:pPr>
        <w:pStyle w:val="Heading1"/>
      </w:pPr>
      <w:r>
        <w:t>6. UI states and interaction quality</w:t>
      </w:r>
    </w:p>
    <w:p>
      <w:pPr>
        <w:pStyle w:val="ListBullet"/>
        <w:spacing w:after="40"/>
      </w:pPr>
      <w:r>
        <w:t>Every data-driven screen must intentionally handle loading, success, empty, error, and partial-data states as applicable.</w:t>
      </w:r>
    </w:p>
    <w:p>
      <w:pPr>
        <w:pStyle w:val="ListBullet"/>
        <w:spacing w:after="40"/>
      </w:pPr>
      <w:r>
        <w:t>Use skeletons or restrained progress indicators for loading; do not use infinite spinners without an escape path.</w:t>
      </w:r>
    </w:p>
    <w:p>
      <w:pPr>
        <w:pStyle w:val="ListBullet"/>
        <w:spacing w:after="40"/>
      </w:pPr>
      <w:r>
        <w:t>Empty states should explain why there is no data and offer a useful next action when possible.</w:t>
      </w:r>
    </w:p>
    <w:p>
      <w:pPr>
        <w:pStyle w:val="ListBullet"/>
        <w:spacing w:after="40"/>
      </w:pPr>
      <w:r>
        <w:t>Errors should explain what happened in plain language and offer retry or recovery where appropriate. Never display raw stack traces.</w:t>
      </w:r>
    </w:p>
    <w:p>
      <w:pPr>
        <w:pStyle w:val="ListBullet"/>
        <w:spacing w:after="40"/>
      </w:pPr>
      <w:r>
        <w:t>Destructive actions require clear labels and appropriate confirmation when recovery is difficult. Do not use vague labels like 'OK' for important actions.</w:t>
      </w:r>
    </w:p>
    <w:p>
      <w:pPr>
        <w:pStyle w:val="ListBullet"/>
        <w:spacing w:after="40"/>
      </w:pPr>
      <w:r>
        <w:t>Make pending, disabled, selected, active, and completed states visually distinguishable.</w:t>
      </w:r>
    </w:p>
    <w:p>
      <w:pPr>
        <w:pStyle w:val="ListBullet"/>
        <w:spacing w:after="40"/>
      </w:pPr>
      <w:r>
        <w:t>Prevent double submits and accidental repeated actions while requests are in flight.</w:t>
      </w:r>
    </w:p>
    <w:p>
      <w:pPr>
        <w:pStyle w:val="ListBullet"/>
        <w:spacing w:after="40"/>
      </w:pPr>
      <w:r>
        <w:t>Use toast notifications for concise transient feedback, not as the only location for important or persistent errors.</w:t>
      </w:r>
    </w:p>
    <w:p>
      <w:pPr>
        <w:pStyle w:val="ListBullet"/>
        <w:spacing w:after="40"/>
      </w:pPr>
      <w:r>
        <w:t>Do not rely on color alone to communicate priority, confidence, disqualification, or status; pair color with text or an accessible label.</w:t>
      </w:r>
    </w:p>
    <w:p>
      <w:pPr>
        <w:pStyle w:val="Heading1"/>
      </w:pPr>
      <w:r>
        <w:t>7. Accessibility requirements</w:t>
      </w:r>
    </w:p>
    <w:p>
      <w:pPr>
        <w:pStyle w:val="ListBullet"/>
        <w:spacing w:after="40"/>
      </w:pPr>
      <w:r>
        <w:t>Use semantic landmarks, heading order, buttons for actions, links for navigation, and labels for inputs.</w:t>
      </w:r>
    </w:p>
    <w:p>
      <w:pPr>
        <w:pStyle w:val="ListBullet"/>
        <w:spacing w:after="40"/>
      </w:pPr>
      <w:r>
        <w:t>All interactive workflows must be keyboard-operable, with visible focus indicators and logical focus order.</w:t>
      </w:r>
    </w:p>
    <w:p>
      <w:pPr>
        <w:pStyle w:val="ListBullet"/>
        <w:spacing w:after="40"/>
      </w:pPr>
      <w:r>
        <w:t>Use accessible names for icon-only buttons. Decorative icons should be hidden from assistive technology where appropriate.</w:t>
      </w:r>
    </w:p>
    <w:p>
      <w:pPr>
        <w:pStyle w:val="ListBullet"/>
        <w:spacing w:after="40"/>
      </w:pPr>
      <w:r>
        <w:t>Dialogs and drawers must manage focus, support Escape where expected, and return focus to the trigger when closed.</w:t>
      </w:r>
    </w:p>
    <w:p>
      <w:pPr>
        <w:pStyle w:val="ListBullet"/>
        <w:spacing w:after="40"/>
      </w:pPr>
      <w:r>
        <w:t>Associate validation errors with fields and announce important asynchronous updates where appropriate.</w:t>
      </w:r>
    </w:p>
    <w:p>
      <w:pPr>
        <w:pStyle w:val="ListBullet"/>
        <w:spacing w:after="40"/>
      </w:pPr>
      <w:r>
        <w:t>Ensure sufficient text and control contrast; do not encode meaning with color alone.</w:t>
      </w:r>
    </w:p>
    <w:p>
      <w:pPr>
        <w:pStyle w:val="ListBullet"/>
        <w:spacing w:after="40"/>
      </w:pPr>
      <w:r>
        <w:t>Support browser zoom and responsive reflow without hiding essential actions or requiring two-dimensional scrolling for ordinary content.</w:t>
      </w:r>
    </w:p>
    <w:p>
      <w:pPr>
        <w:pStyle w:val="ListBullet"/>
        <w:spacing w:after="40"/>
      </w:pPr>
      <w:r>
        <w:t>Respect reduced-motion preferences; avoid animation that blocks interaction or communicates information only through motion.</w:t>
      </w:r>
    </w:p>
    <w:p>
      <w:pPr>
        <w:pStyle w:val="ListBullet"/>
        <w:spacing w:after="40"/>
      </w:pPr>
      <w:r>
        <w:t>Use accessible table semantics for data tables, including headers and row/column context. Provide a mobile alternative when the table cannot reflow.</w:t>
      </w:r>
    </w:p>
    <w:p>
      <w:pPr>
        <w:pStyle w:val="Heading1"/>
      </w:pPr>
      <w:r>
        <w:t>8. Design system and visual consistency</w:t>
      </w:r>
    </w:p>
    <w:p>
      <w:pPr>
        <w:pStyle w:val="ListBullet"/>
        <w:spacing w:after="40"/>
      </w:pPr>
      <w:r>
        <w:t>Use existing Tailwind tokens and shadcn/ui primitives before introducing one-off colors, spacing, shadows, radii, or typography.</w:t>
      </w:r>
    </w:p>
    <w:p>
      <w:pPr>
        <w:pStyle w:val="ListBullet"/>
        <w:spacing w:after="40"/>
      </w:pPr>
      <w:r>
        <w:t>Build reusable patterns for page headers, filter bars, data tables, status labels, dialogs, empty states, and error states.</w:t>
      </w:r>
    </w:p>
    <w:p>
      <w:pPr>
        <w:pStyle w:val="ListBullet"/>
        <w:spacing w:after="40"/>
      </w:pPr>
      <w:r>
        <w:t>Keep B2B data-heavy screens readable: clear hierarchy, restrained decoration, aligned numeric columns, and useful whitespace.</w:t>
      </w:r>
    </w:p>
    <w:p>
      <w:pPr>
        <w:pStyle w:val="ListBullet"/>
        <w:spacing w:after="40"/>
      </w:pPr>
      <w:r>
        <w:t>Use consistent priority/status labels. Do not rely on arbitrary colors or emojis as the only state representation.</w:t>
      </w:r>
    </w:p>
    <w:p>
      <w:pPr>
        <w:pStyle w:val="ListBullet"/>
        <w:spacing w:after="40"/>
      </w:pPr>
      <w:r>
        <w:t>Use a coherent spacing scale and responsive breakpoints. Avoid hard-coded widths that break at common viewport sizes.</w:t>
      </w:r>
    </w:p>
    <w:p>
      <w:pPr>
        <w:pStyle w:val="ListBullet"/>
        <w:spacing w:after="40"/>
      </w:pPr>
      <w:r>
        <w:t>Prefer CSS/layout primitives over JavaScript measurement for responsive behavior.</w:t>
      </w:r>
    </w:p>
    <w:p>
      <w:pPr>
        <w:pStyle w:val="ListBullet"/>
        <w:spacing w:after="40"/>
      </w:pPr>
      <w:r>
        <w:t>Do not add charts or metrics without a clear user decision they support; label estimates and demo data accurately.</w:t>
      </w:r>
    </w:p>
    <w:p>
      <w:pPr>
        <w:pStyle w:val="ListBullet"/>
        <w:spacing w:after="40"/>
      </w:pPr>
      <w:r>
        <w:t>Use realistic seeded company data and intentional missing values for the demo, but do not present seeded values as live scraped data.</w:t>
      </w:r>
    </w:p>
    <w:p>
      <w:pPr>
        <w:pStyle w:val="Heading1"/>
      </w:pPr>
      <w:r>
        <w:t>9. Smart Enrichment Queue frontend rules</w:t>
      </w:r>
    </w:p>
    <w:p>
      <w:pPr>
        <w:pStyle w:val="ListBullet"/>
        <w:spacing w:after="40"/>
      </w:pPr>
      <w:r>
        <w:t>Show score, priority, confidence, and evidence separately; do not imply a score is conversion probability.</w:t>
      </w:r>
    </w:p>
    <w:p>
      <w:pPr>
        <w:pStyle w:val="ListBullet"/>
        <w:spacing w:after="40"/>
      </w:pPr>
      <w:r>
        <w:t>Display why factors contributed to a score and which fields are missing. Render explanations from API scoring results rather than inventing frontend-only reasons.</w:t>
      </w:r>
    </w:p>
    <w:p>
      <w:pPr>
        <w:pStyle w:val="ListBullet"/>
        <w:spacing w:after="40"/>
      </w:pPr>
      <w:r>
        <w:t>Clearly distinguish disqualified, needs_review, and low-scoring leads. Unknown mandatory data should not be presented as a confirmed failure.</w:t>
      </w:r>
    </w:p>
    <w:p>
      <w:pPr>
        <w:pStyle w:val="ListBullet"/>
        <w:spacing w:after="40"/>
      </w:pPr>
      <w:r>
        <w:t>Preference sliders/inputs must have accessible labels and visible values. Clarify whether weights are normalized automatically or used as entered.</w:t>
      </w:r>
    </w:p>
    <w:p>
      <w:pPr>
        <w:pStyle w:val="ListBullet"/>
        <w:spacing w:after="40"/>
      </w:pPr>
      <w:r>
        <w:t>Keep sorting and filtering semantics visible. If ranking is global, preserve the backend's ranking and pagination contract.</w:t>
      </w:r>
    </w:p>
    <w:p>
      <w:pPr>
        <w:pStyle w:val="ListBullet"/>
        <w:spacing w:after="40"/>
      </w:pPr>
      <w:r>
        <w:t>Queue selection must show the selected count and handle already-queued records clearly.</w:t>
      </w:r>
    </w:p>
    <w:p>
      <w:pPr>
        <w:pStyle w:val="ListBullet"/>
        <w:spacing w:after="40"/>
      </w:pPr>
      <w:r>
        <w:t>Credit estimates must be labeled as estimates or demo values unless backed by a verified provider integration.</w:t>
      </w:r>
    </w:p>
    <w:p>
      <w:pPr>
        <w:pStyle w:val="ListBullet"/>
        <w:spacing w:after="40"/>
      </w:pPr>
      <w:r>
        <w:t>Simulated enrichment must be visibly labeled. Do not show real-provider success language or fabricated enrichment results.</w:t>
      </w:r>
    </w:p>
    <w:p>
      <w:pPr>
        <w:pStyle w:val="ListBullet"/>
        <w:spacing w:after="40"/>
      </w:pPr>
      <w:r>
        <w:t>CSV export should provide clear feedback and handle API failure; do not create an export from stale or incomplete client data unless that is explicitly the contract.</w:t>
      </w:r>
    </w:p>
    <w:p>
      <w:pPr>
        <w:pStyle w:val="Heading1"/>
      </w:pPr>
      <w:r>
        <w:t>10. Performance and resilience</w:t>
      </w:r>
    </w:p>
    <w:p>
      <w:pPr>
        <w:pStyle w:val="ListBullet"/>
        <w:spacing w:after="40"/>
      </w:pPr>
      <w:r>
        <w:t>Keep lists bounded with server-side pagination for large lead sets. Avoid rendering hundreds or thousands of complex rows without a deliberate strategy.</w:t>
      </w:r>
    </w:p>
    <w:p>
      <w:pPr>
        <w:pStyle w:val="ListBullet"/>
        <w:spacing w:after="40"/>
      </w:pPr>
      <w:r>
        <w:t>Use stable query keys and sensible stale times; avoid refetch loops and invalidating every query after every mutation.</w:t>
      </w:r>
    </w:p>
    <w:p>
      <w:pPr>
        <w:pStyle w:val="ListBullet"/>
        <w:spacing w:after="40"/>
      </w:pPr>
      <w:r>
        <w:t>Use virtualization only if measurements show it is needed and it does not compromise accessibility or table behavior.</w:t>
      </w:r>
    </w:p>
    <w:p>
      <w:pPr>
        <w:pStyle w:val="ListBullet"/>
        <w:spacing w:after="40"/>
      </w:pPr>
      <w:r>
        <w:t>Split routes or heavy modules when bundle analysis or user experience justifies it, not by default.</w:t>
      </w:r>
    </w:p>
    <w:p>
      <w:pPr>
        <w:pStyle w:val="ListBullet"/>
        <w:spacing w:after="40"/>
      </w:pPr>
      <w:r>
        <w:t>Use optimized image assets and avoid unnecessary dependencies that inflate the bundle.</w:t>
      </w:r>
    </w:p>
    <w:p>
      <w:pPr>
        <w:pStyle w:val="ListBullet"/>
        <w:spacing w:after="40"/>
      </w:pPr>
      <w:r>
        <w:t>Handle slow networks and intermittent failures gracefully. Avoid aggressive automatic retries for non-idempotent mutations.</w:t>
      </w:r>
    </w:p>
    <w:p>
      <w:pPr>
        <w:pStyle w:val="ListBullet"/>
        <w:spacing w:after="40"/>
      </w:pPr>
      <w:r>
        <w:t>Keep local UI state separate from server state. Do not store duplicate copies of server records in global context without a clear reason.</w:t>
      </w:r>
    </w:p>
    <w:p>
      <w:pPr>
        <w:pStyle w:val="Heading1"/>
      </w:pPr>
      <w:r>
        <w:t>11. Security and privacy</w:t>
      </w:r>
    </w:p>
    <w:p>
      <w:pPr>
        <w:pStyle w:val="ListBullet"/>
        <w:spacing w:after="40"/>
      </w:pPr>
      <w:r>
        <w:t>Never put server secrets, database credentials, private API keys, or privileged tokens in frontend code or VITE_ variables; Vite-exposed variables are public.</w:t>
      </w:r>
    </w:p>
    <w:p>
      <w:pPr>
        <w:pStyle w:val="ListBullet"/>
        <w:spacing w:after="40"/>
      </w:pPr>
      <w:r>
        <w:t>Do not assume a hidden button or client-side route guard provides authorization. The backend must enforce access control.</w:t>
      </w:r>
    </w:p>
    <w:p>
      <w:pPr>
        <w:pStyle w:val="ListBullet"/>
        <w:spacing w:after="40"/>
      </w:pPr>
      <w:r>
        <w:t>Render untrusted text as text. Avoid dangerouslySetInnerHTML; if rich HTML is truly required, use a vetted sanitizer and document the need.</w:t>
      </w:r>
    </w:p>
    <w:p>
      <w:pPr>
        <w:pStyle w:val="ListBullet"/>
        <w:spacing w:after="40"/>
      </w:pPr>
      <w:r>
        <w:t>Do not log sensitive lead/contact information to the browser console or analytics by default.</w:t>
      </w:r>
    </w:p>
    <w:p>
      <w:pPr>
        <w:pStyle w:val="ListBullet"/>
        <w:spacing w:after="40"/>
      </w:pPr>
      <w:r>
        <w:t>Treat query parameters and local storage as untrusted input. Validate values before using them in application logic.</w:t>
      </w:r>
    </w:p>
    <w:p>
      <w:pPr>
        <w:pStyle w:val="ListBullet"/>
        <w:spacing w:after="40"/>
      </w:pPr>
      <w:r>
        <w:t>Use safe link handling for external URLs and avoid opening untrusted links with unsafe window-opener behavior.</w:t>
      </w:r>
    </w:p>
    <w:p>
      <w:pPr>
        <w:pStyle w:val="ListBullet"/>
        <w:spacing w:after="40"/>
      </w:pPr>
      <w:r>
        <w:t>Do not persist sensitive information in local storage unless necessary and explicitly reviewed. Prefer server state for persisted business data.</w:t>
      </w:r>
    </w:p>
    <w:p>
      <w:pPr>
        <w:pStyle w:val="ListBullet"/>
        <w:spacing w:after="40"/>
      </w:pPr>
      <w:r>
        <w:t>Do not leak backend internals or raw error objects to users; map errors to safe messages.</w:t>
      </w:r>
    </w:p>
    <w:p>
      <w:pPr>
        <w:pStyle w:val="Heading1"/>
      </w:pPr>
      <w:r>
        <w:t>12. Testing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7488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coverage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Unit (Vitest)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Pure UI helpers, weight/formatting logic, query-key builders, and edge cases where logic is non-trivial.</w:t>
            </w:r>
          </w:p>
        </w:tc>
      </w:tr>
      <w:tr>
        <w:tc>
          <w:tcPr>
            <w:tcW w:type="dxa" w:w="2592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Component (React Testing Library)</w:t>
            </w:r>
          </w:p>
        </w:tc>
        <w:tc>
          <w:tcPr>
            <w:tcW w:type="dxa" w:w="7488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Forms, accessible labels, loading/empty/error states, dialogs, selection and mutation feedback.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API integration mocks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Success/error handling, cache invalidation, stale-response behavior, invalid response handling where implemented.</w:t>
            </w:r>
          </w:p>
        </w:tc>
      </w:tr>
      <w:tr>
        <w:tc>
          <w:tcPr>
            <w:tcW w:type="dxa" w:w="2592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End-to-end (Playwright)</w:t>
            </w:r>
          </w:p>
        </w:tc>
        <w:tc>
          <w:tcPr>
            <w:tcW w:type="dxa" w:w="7488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Configure ICP -&gt; preview ranking -&gt; inspect lead -&gt; queue selection -&gt; status update -&gt; CSV export.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Accessibility checks</w:t>
            </w:r>
          </w:p>
        </w:tc>
        <w:tc>
          <w:tcPr>
            <w:tcW w:type="dxa" w:w="748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Keyboard navigation, focus management, accessible names, field errors, responsive layout and contrast review.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Test observable user behavior, not implementation details or internal hook call counts.</w:t>
      </w:r>
    </w:p>
    <w:p>
      <w:pPr>
        <w:pStyle w:val="ListBullet"/>
        <w:spacing w:after="40"/>
      </w:pPr>
      <w:r>
        <w:t>Prefer role/name-based queries and realistic user interactions over brittle selectors.</w:t>
      </w:r>
    </w:p>
    <w:p>
      <w:pPr>
        <w:pStyle w:val="ListBullet"/>
        <w:spacing w:after="40"/>
      </w:pPr>
      <w:r>
        <w:t>Mock network requests at a clear boundary. Keep tests deterministic and independent of real external services.</w:t>
      </w:r>
    </w:p>
    <w:p>
      <w:pPr>
        <w:pStyle w:val="ListBullet"/>
        <w:spacing w:after="40"/>
      </w:pPr>
      <w:r>
        <w:t>Cover failed requests and empty data, not only the happy path.</w:t>
      </w:r>
    </w:p>
    <w:p>
      <w:pPr>
        <w:pStyle w:val="ListBullet"/>
        <w:spacing w:after="40"/>
      </w:pPr>
      <w:r>
        <w:t>Do not weaken tests to silence regressions. Add regression coverage for bugs where practical.</w:t>
      </w:r>
    </w:p>
    <w:p>
      <w:pPr>
        <w:pStyle w:val="Heading1"/>
      </w:pPr>
      <w:r>
        <w:t>13. Required frontend definition of done</w:t>
      </w:r>
    </w:p>
    <w:p>
      <w:pPr>
        <w:pStyle w:val="ListBullet"/>
        <w:spacing w:after="40"/>
      </w:pPr>
      <w:r>
        <w:t>☐ Feature behavior matches the requirement and backend contract.</w:t>
      </w:r>
    </w:p>
    <w:p>
      <w:pPr>
        <w:pStyle w:val="ListBullet"/>
        <w:spacing w:after="40"/>
      </w:pPr>
      <w:r>
        <w:t>☐ Loading, empty, error, success, and partial-data states are handled.</w:t>
      </w:r>
    </w:p>
    <w:p>
      <w:pPr>
        <w:pStyle w:val="ListBullet"/>
        <w:spacing w:after="40"/>
      </w:pPr>
      <w:r>
        <w:t>☐ Forms validate input and show accessible, actionable errors.</w:t>
      </w:r>
    </w:p>
    <w:p>
      <w:pPr>
        <w:pStyle w:val="ListBullet"/>
        <w:spacing w:after="40"/>
      </w:pPr>
      <w:r>
        <w:t>☐ Keyboard navigation, focus behavior, semantic markup, and responsive layout are checked.</w:t>
      </w:r>
    </w:p>
    <w:p>
      <w:pPr>
        <w:pStyle w:val="ListBullet"/>
        <w:spacing w:after="40"/>
      </w:pPr>
      <w:r>
        <w:t>☐ Server state uses the shared API client and TanStack Query conventions.</w:t>
      </w:r>
    </w:p>
    <w:p>
      <w:pPr>
        <w:pStyle w:val="ListBullet"/>
        <w:spacing w:after="40"/>
      </w:pPr>
      <w:r>
        <w:t>☐ Lint, type-check, tests, and production build pass—or exact failures are reported.</w:t>
      </w:r>
    </w:p>
    <w:p>
      <w:pPr>
        <w:pStyle w:val="ListBullet"/>
        <w:spacing w:after="40"/>
      </w:pPr>
      <w:r>
        <w:t>☐ No secrets, fake success paths, console debugging, unexplained TODOs, or unrelated changes remain.</w:t>
      </w:r>
    </w:p>
    <w:p>
      <w:pPr>
        <w:pStyle w:val="ListBullet"/>
        <w:spacing w:after="40"/>
      </w:pPr>
      <w:r>
        <w:t>☐ Relevant docs and environment examples are updated.</w:t>
      </w:r>
    </w:p>
    <w:p>
      <w:pPr>
        <w:pStyle w:val="ListBullet"/>
        <w:spacing w:after="40"/>
      </w:pPr>
      <w:r>
        <w:t>☐ Final report includes files changed, decisions, exact checks/results, limitations, and follow-ups.</w:t>
      </w:r>
    </w:p>
    <w:p>
      <w:pPr>
        <w:pStyle w:val="Heading1"/>
      </w:pPr>
      <w:r>
        <w:t>14. Required agent completion report</w:t>
      </w:r>
    </w:p>
    <w:p>
      <w:pPr>
        <w:spacing w:after="100"/>
        <w:ind w:left="216" w:right="144"/>
        <w:shd w:fill="F2F6F8"/>
      </w:pPr>
      <w:r>
        <w:rPr>
          <w:rFonts w:ascii="Consolas" w:hAnsi="Consolas"/>
          <w:color w:val="17324D"/>
          <w:sz w:val="15"/>
        </w:rPr>
        <w:t>## Summary</w:t>
      </w:r>
      <w:r>
        <w:br/>
      </w:r>
      <w:r>
        <w:rPr>
          <w:rFonts w:ascii="Consolas" w:hAnsi="Consolas"/>
          <w:color w:val="17324D"/>
          <w:sz w:val="15"/>
        </w:rPr>
        <w:t>- What changed and why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UI / interaction decisions</w:t>
      </w:r>
      <w:r>
        <w:br/>
      </w:r>
      <w:r>
        <w:rPr>
          <w:rFonts w:ascii="Consolas" w:hAnsi="Consolas"/>
          <w:color w:val="17324D"/>
          <w:sz w:val="15"/>
        </w:rPr>
        <w:t>- Important behavior and accessibility choices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Validation</w:t>
      </w:r>
      <w:r>
        <w:br/>
      </w:r>
      <w:r>
        <w:rPr>
          <w:rFonts w:ascii="Consolas" w:hAnsi="Consolas"/>
          <w:color w:val="17324D"/>
          <w:sz w:val="15"/>
        </w:rPr>
        <w:t>- Commands actually run and results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Risks / limitations</w:t>
      </w:r>
      <w:r>
        <w:br/>
      </w:r>
      <w:r>
        <w:rPr>
          <w:rFonts w:ascii="Consolas" w:hAnsi="Consolas"/>
          <w:color w:val="17324D"/>
          <w:sz w:val="15"/>
        </w:rPr>
        <w:t>- Remaining gaps or unverified behavior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Follow-ups</w:t>
      </w:r>
      <w:r>
        <w:br/>
      </w:r>
      <w:r>
        <w:rPr>
          <w:rFonts w:ascii="Consolas" w:hAnsi="Consolas"/>
          <w:color w:val="17324D"/>
          <w:sz w:val="15"/>
        </w:rPr>
        <w:t>- Concrete deferred work only</w:t>
      </w:r>
    </w:p>
    <w:p>
      <w:pPr>
        <w:pStyle w:val="Heading1"/>
      </w:pPr>
      <w:r>
        <w:t>15. Ready-to-use root frontend AGENTS.md</w:t>
      </w:r>
    </w:p>
    <w:p>
      <w:r>
        <w:t>Use the following as the frontend-specific instruction file. If the backend and frontend live in one repository, combine these rules into the root AGENTS.md or place them in apps/web/AGENTS.md for scoped instructions.</w:t>
      </w:r>
    </w:p>
    <w:p>
      <w:pPr>
        <w:spacing w:after="100"/>
        <w:ind w:left="216" w:right="144"/>
        <w:shd w:fill="F2F6F8"/>
      </w:pPr>
      <w:r>
        <w:rPr>
          <w:rFonts w:ascii="Consolas" w:hAnsi="Consolas"/>
          <w:color w:val="17324D"/>
          <w:sz w:val="15"/>
        </w:rPr>
        <w:t># Frontend Agent Rules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You are implementing a maintainable, accessible frontend for Smart Enrichment Queue.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Stack</w:t>
      </w:r>
      <w:r>
        <w:br/>
      </w:r>
      <w:r>
        <w:rPr>
          <w:rFonts w:ascii="Consolas" w:hAnsi="Consolas"/>
          <w:color w:val="17324D"/>
          <w:sz w:val="15"/>
        </w:rPr>
        <w:t>- React, strict TypeScript, Vite, Tailwind CSS, shadcn/ui.</w:t>
      </w:r>
      <w:r>
        <w:br/>
      </w:r>
      <w:r>
        <w:rPr>
          <w:rFonts w:ascii="Consolas" w:hAnsi="Consolas"/>
          <w:color w:val="17324D"/>
          <w:sz w:val="15"/>
        </w:rPr>
        <w:t>- Server state: TanStack Query. Forms: React Hook Form + Zod.</w:t>
      </w:r>
      <w:r>
        <w:br/>
      </w:r>
      <w:r>
        <w:rPr>
          <w:rFonts w:ascii="Consolas" w:hAnsi="Consolas"/>
          <w:color w:val="17324D"/>
          <w:sz w:val="15"/>
        </w:rPr>
        <w:t>- Tests: Vitest, React Testing Library, Playwright. Follow existing repository tooling.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Before editing</w:t>
      </w:r>
      <w:r>
        <w:br/>
      </w:r>
      <w:r>
        <w:rPr>
          <w:rFonts w:ascii="Consolas" w:hAnsi="Consolas"/>
          <w:color w:val="17324D"/>
          <w:sz w:val="15"/>
        </w:rPr>
        <w:t>1. Read this file, package scripts, existing components/styles, routes, API client, and tests.</w:t>
      </w:r>
      <w:r>
        <w:br/>
      </w:r>
      <w:r>
        <w:rPr>
          <w:rFonts w:ascii="Consolas" w:hAnsi="Consolas"/>
          <w:color w:val="17324D"/>
          <w:sz w:val="15"/>
        </w:rPr>
        <w:t>2. Follow established patterns and make the smallest complete change.</w:t>
      </w:r>
      <w:r>
        <w:br/>
      </w:r>
      <w:r>
        <w:rPr>
          <w:rFonts w:ascii="Consolas" w:hAnsi="Consolas"/>
          <w:color w:val="17324D"/>
          <w:sz w:val="15"/>
        </w:rPr>
        <w:t>3. Do not invent API behavior, fabricate data, or claim an integration exists when it does not.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Architecture</w:t>
      </w:r>
      <w:r>
        <w:br/>
      </w:r>
      <w:r>
        <w:rPr>
          <w:rFonts w:ascii="Consolas" w:hAnsi="Consolas"/>
          <w:color w:val="17324D"/>
          <w:sz w:val="15"/>
        </w:rPr>
        <w:t>- Keep pages, feature components, shared UI, hooks, schemas, and API access responsibilities clear.</w:t>
      </w:r>
      <w:r>
        <w:br/>
      </w:r>
      <w:r>
        <w:rPr>
          <w:rFonts w:ascii="Consolas" w:hAnsi="Consolas"/>
          <w:color w:val="17324D"/>
          <w:sz w:val="15"/>
        </w:rPr>
        <w:t>- Use one shared typed API client; do not scatter ad hoc fetch calls through components.</w:t>
      </w:r>
      <w:r>
        <w:br/>
      </w:r>
      <w:r>
        <w:rPr>
          <w:rFonts w:ascii="Consolas" w:hAnsi="Consolas"/>
          <w:color w:val="17324D"/>
          <w:sz w:val="15"/>
        </w:rPr>
        <w:t>- Use TanStack Query for server state. Avoid duplicate server data in useState or global context.</w:t>
      </w:r>
      <w:r>
        <w:br/>
      </w:r>
      <w:r>
        <w:rPr>
          <w:rFonts w:ascii="Consolas" w:hAnsi="Consolas"/>
          <w:color w:val="17324D"/>
          <w:sz w:val="15"/>
        </w:rPr>
        <w:t>- Keep components focused; extract complex logic when it improves reuse, readability, or testability.</w:t>
      </w:r>
      <w:r>
        <w:br/>
      </w:r>
      <w:r>
        <w:rPr>
          <w:rFonts w:ascii="Consolas" w:hAnsi="Consolas"/>
          <w:color w:val="17324D"/>
          <w:sz w:val="15"/>
        </w:rPr>
        <w:t>- Avoid unnecessary abstractions, dependencies, unrelated refactors, and giant components.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React and TypeScript</w:t>
      </w:r>
      <w:r>
        <w:br/>
      </w:r>
      <w:r>
        <w:rPr>
          <w:rFonts w:ascii="Consolas" w:hAnsi="Consolas"/>
          <w:color w:val="17324D"/>
          <w:sz w:val="15"/>
        </w:rPr>
        <w:t>- Use strict typing. Avoid `any`, unjustified casts, `@ts-ignore`, and non-null assertions.</w:t>
      </w:r>
      <w:r>
        <w:br/>
      </w:r>
      <w:r>
        <w:rPr>
          <w:rFonts w:ascii="Consolas" w:hAnsi="Consolas"/>
          <w:color w:val="17324D"/>
          <w:sz w:val="15"/>
        </w:rPr>
        <w:t>- Use stable IDs as list keys when records can reorder or change.</w:t>
      </w:r>
      <w:r>
        <w:br/>
      </w:r>
      <w:r>
        <w:rPr>
          <w:rFonts w:ascii="Consolas" w:hAnsi="Consolas"/>
          <w:color w:val="17324D"/>
          <w:sz w:val="15"/>
        </w:rPr>
        <w:t>- Derive values instead of mirroring them in state. Use effects to synchronize external systems, not as a default state-management tool.</w:t>
      </w:r>
      <w:r>
        <w:br/>
      </w:r>
      <w:r>
        <w:rPr>
          <w:rFonts w:ascii="Consolas" w:hAnsi="Consolas"/>
          <w:color w:val="17324D"/>
          <w:sz w:val="15"/>
        </w:rPr>
        <w:t>- Do not mutate props, state, or query results.</w:t>
      </w:r>
      <w:r>
        <w:br/>
      </w:r>
      <w:r>
        <w:rPr>
          <w:rFonts w:ascii="Consolas" w:hAnsi="Consolas"/>
          <w:color w:val="17324D"/>
          <w:sz w:val="15"/>
        </w:rPr>
        <w:t>- Use memoization only when justified by correctness or measured performance.</w:t>
      </w:r>
      <w:r>
        <w:br/>
      </w:r>
      <w:r>
        <w:rPr>
          <w:rFonts w:ascii="Consolas" w:hAnsi="Consolas"/>
          <w:color w:val="17324D"/>
          <w:sz w:val="15"/>
        </w:rPr>
        <w:t>- Clean up subscriptions, listeners, and asynchronous work when appropriate.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API and forms</w:t>
      </w:r>
      <w:r>
        <w:br/>
      </w:r>
      <w:r>
        <w:rPr>
          <w:rFonts w:ascii="Consolas" w:hAnsi="Consolas"/>
          <w:color w:val="17324D"/>
          <w:sz w:val="15"/>
        </w:rPr>
        <w:t>- Treat HTTP responses as runtime data; TypeScript types alone do not validate JSON.</w:t>
      </w:r>
      <w:r>
        <w:br/>
      </w:r>
      <w:r>
        <w:rPr>
          <w:rFonts w:ascii="Consolas" w:hAnsi="Consolas"/>
          <w:color w:val="17324D"/>
          <w:sz w:val="15"/>
        </w:rPr>
        <w:t>- Use stable query keys, explicit loading/error states, and targeted cache invalidation after mutations.</w:t>
      </w:r>
      <w:r>
        <w:br/>
      </w:r>
      <w:r>
        <w:rPr>
          <w:rFonts w:ascii="Consolas" w:hAnsi="Consolas"/>
          <w:color w:val="17324D"/>
          <w:sz w:val="15"/>
        </w:rPr>
        <w:t>- Never show mutation success before the server confirms it.</w:t>
      </w:r>
      <w:r>
        <w:br/>
      </w:r>
      <w:r>
        <w:rPr>
          <w:rFonts w:ascii="Consolas" w:hAnsi="Consolas"/>
          <w:color w:val="17324D"/>
          <w:sz w:val="15"/>
        </w:rPr>
        <w:t>- Validate non-trivial forms with React Hook Form + Zod. Backend validation remains authoritative.</w:t>
      </w:r>
      <w:r>
        <w:br/>
      </w:r>
      <w:r>
        <w:rPr>
          <w:rFonts w:ascii="Consolas" w:hAnsi="Consolas"/>
          <w:color w:val="17324D"/>
          <w:sz w:val="15"/>
        </w:rPr>
        <w:t>- Associate labels, hints, and errors with inputs. Preserve values after recoverable failures.</w:t>
      </w:r>
      <w:r>
        <w:br/>
      </w:r>
      <w:r>
        <w:rPr>
          <w:rFonts w:ascii="Consolas" w:hAnsi="Consolas"/>
          <w:color w:val="17324D"/>
          <w:sz w:val="15"/>
        </w:rPr>
        <w:t>- Debounce search when useful and handle stale responses/cancellation appropriately.</w:t>
      </w:r>
      <w:r>
        <w:br/>
      </w:r>
      <w:r>
        <w:rPr>
          <w:rFonts w:ascii="Consolas" w:hAnsi="Consolas"/>
          <w:color w:val="17324D"/>
          <w:sz w:val="15"/>
        </w:rPr>
        <w:t>- Never hardcode production API URLs. Use documented environment configuration.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UX and accessibility</w:t>
      </w:r>
      <w:r>
        <w:br/>
      </w:r>
      <w:r>
        <w:rPr>
          <w:rFonts w:ascii="Consolas" w:hAnsi="Consolas"/>
          <w:color w:val="17324D"/>
          <w:sz w:val="15"/>
        </w:rPr>
        <w:t>- Handle loading, empty, error, success, and partial-data states intentionally.</w:t>
      </w:r>
      <w:r>
        <w:br/>
      </w:r>
      <w:r>
        <w:rPr>
          <w:rFonts w:ascii="Consolas" w:hAnsi="Consolas"/>
          <w:color w:val="17324D"/>
          <w:sz w:val="15"/>
        </w:rPr>
        <w:t>- Use semantic HTML, keyboard-operable controls, visible focus, logical headings, and accessible names for icon-only buttons.</w:t>
      </w:r>
      <w:r>
        <w:br/>
      </w:r>
      <w:r>
        <w:rPr>
          <w:rFonts w:ascii="Consolas" w:hAnsi="Consolas"/>
          <w:color w:val="17324D"/>
          <w:sz w:val="15"/>
        </w:rPr>
        <w:t>- Dialogs/drawers must manage focus and restore it when closed.</w:t>
      </w:r>
      <w:r>
        <w:br/>
      </w:r>
      <w:r>
        <w:rPr>
          <w:rFonts w:ascii="Consolas" w:hAnsi="Consolas"/>
          <w:color w:val="17324D"/>
          <w:sz w:val="15"/>
        </w:rPr>
        <w:t>- Do not rely on color alone for priority, confidence, qualification, or status.</w:t>
      </w:r>
      <w:r>
        <w:br/>
      </w:r>
      <w:r>
        <w:rPr>
          <w:rFonts w:ascii="Consolas" w:hAnsi="Consolas"/>
          <w:color w:val="17324D"/>
          <w:sz w:val="15"/>
        </w:rPr>
        <w:t>- Keep responsive behavior usable at mobile and desktop sizes; support zoom and reduced motion.</w:t>
      </w:r>
      <w:r>
        <w:br/>
      </w:r>
      <w:r>
        <w:rPr>
          <w:rFonts w:ascii="Consolas" w:hAnsi="Consolas"/>
          <w:color w:val="17324D"/>
          <w:sz w:val="15"/>
        </w:rPr>
        <w:t>- Reuse Tailwind tokens and shadcn/ui primitives before inventing one-off styles.</w:t>
      </w:r>
      <w:r>
        <w:br/>
      </w:r>
      <w:r>
        <w:rPr>
          <w:rFonts w:ascii="Consolas" w:hAnsi="Consolas"/>
          <w:color w:val="17324D"/>
          <w:sz w:val="15"/>
        </w:rPr>
        <w:t>- Do not show raw exceptions to users; provide clear recovery actions where possible.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Smart Enrichment Queue</w:t>
      </w:r>
      <w:r>
        <w:br/>
      </w:r>
      <w:r>
        <w:rPr>
          <w:rFonts w:ascii="Consolas" w:hAnsi="Consolas"/>
          <w:color w:val="17324D"/>
          <w:sz w:val="15"/>
        </w:rPr>
        <w:t>- Show score, priority, confidence, and evidence as distinct concepts; score is not conversion probability.</w:t>
      </w:r>
      <w:r>
        <w:br/>
      </w:r>
      <w:r>
        <w:rPr>
          <w:rFonts w:ascii="Consolas" w:hAnsi="Consolas"/>
          <w:color w:val="17324D"/>
          <w:sz w:val="15"/>
        </w:rPr>
        <w:t>- Render explanations from backend scoring results; never invent frontend-only reasons.</w:t>
      </w:r>
      <w:r>
        <w:br/>
      </w:r>
      <w:r>
        <w:rPr>
          <w:rFonts w:ascii="Consolas" w:hAnsi="Consolas"/>
          <w:color w:val="17324D"/>
          <w:sz w:val="15"/>
        </w:rPr>
        <w:t>- Distinguish disqualified, needs_review, and low-scoring leads. Missing data is not a confirmed mismatch.</w:t>
      </w:r>
      <w:r>
        <w:br/>
      </w:r>
      <w:r>
        <w:rPr>
          <w:rFonts w:ascii="Consolas" w:hAnsi="Consolas"/>
          <w:color w:val="17324D"/>
          <w:sz w:val="15"/>
        </w:rPr>
        <w:t>- Clearly label simulated enrichment and demo credit estimates. Never claim real-provider success or actual savings.</w:t>
      </w:r>
      <w:r>
        <w:br/>
      </w:r>
      <w:r>
        <w:rPr>
          <w:rFonts w:ascii="Consolas" w:hAnsi="Consolas"/>
          <w:color w:val="17324D"/>
          <w:sz w:val="15"/>
        </w:rPr>
        <w:t>- Make selection counts, already-queued state, pending actions, and export failures clear.</w:t>
      </w:r>
      <w:r>
        <w:br/>
      </w:r>
      <w:r>
        <w:rPr>
          <w:rFonts w:ascii="Consolas" w:hAnsi="Consolas"/>
          <w:color w:val="17324D"/>
          <w:sz w:val="15"/>
        </w:rPr>
        <w:t>- Preserve backend sorting/pagination semantics; do not rank only the visible page if global ranking is promised.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Security and performance</w:t>
      </w:r>
      <w:r>
        <w:br/>
      </w:r>
      <w:r>
        <w:rPr>
          <w:rFonts w:ascii="Consolas" w:hAnsi="Consolas"/>
          <w:color w:val="17324D"/>
          <w:sz w:val="15"/>
        </w:rPr>
        <w:t>- Never put secrets or privileged tokens in frontend code or `VITE_` variables; these are public to the client.</w:t>
      </w:r>
      <w:r>
        <w:br/>
      </w:r>
      <w:r>
        <w:rPr>
          <w:rFonts w:ascii="Consolas" w:hAnsi="Consolas"/>
          <w:color w:val="17324D"/>
          <w:sz w:val="15"/>
        </w:rPr>
        <w:t>- Client-side guards are not authorization; the backend must enforce access.</w:t>
      </w:r>
      <w:r>
        <w:br/>
      </w:r>
      <w:r>
        <w:rPr>
          <w:rFonts w:ascii="Consolas" w:hAnsi="Consolas"/>
          <w:color w:val="17324D"/>
          <w:sz w:val="15"/>
        </w:rPr>
        <w:t>- Avoid `dangerouslySetInnerHTML`; sanitize untrusted rich HTML if it is genuinely required.</w:t>
      </w:r>
      <w:r>
        <w:br/>
      </w:r>
      <w:r>
        <w:rPr>
          <w:rFonts w:ascii="Consolas" w:hAnsi="Consolas"/>
          <w:color w:val="17324D"/>
          <w:sz w:val="15"/>
        </w:rPr>
        <w:t>- Keep lists bounded and use server pagination. Add virtualization or code splitting only when justified.</w:t>
      </w:r>
      <w:r>
        <w:br/>
      </w:r>
      <w:r>
        <w:rPr>
          <w:rFonts w:ascii="Consolas" w:hAnsi="Consolas"/>
          <w:color w:val="17324D"/>
          <w:sz w:val="15"/>
        </w:rPr>
        <w:t>- Avoid logging sensitive company/contact data in the browser console.</w:t>
      </w:r>
      <w:r>
        <w:br/>
      </w:r>
      <w:r>
        <w:rPr>
          <w:rFonts w:ascii="Consolas" w:hAnsi="Consolas"/>
          <w:color w:val="17324D"/>
          <w:sz w:val="15"/>
        </w:rPr>
        <w:t>- Do not store sensitive data in local storage without explicit review.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Tests and completion</w:t>
      </w:r>
      <w:r>
        <w:br/>
      </w:r>
      <w:r>
        <w:rPr>
          <w:rFonts w:ascii="Consolas" w:hAnsi="Consolas"/>
          <w:color w:val="17324D"/>
          <w:sz w:val="15"/>
        </w:rPr>
        <w:t>- Test behavior with Vitest, React Testing Library, and Playwright according to the repository setup.</w:t>
      </w:r>
      <w:r>
        <w:br/>
      </w:r>
      <w:r>
        <w:rPr>
          <w:rFonts w:ascii="Consolas" w:hAnsi="Consolas"/>
          <w:color w:val="17324D"/>
          <w:sz w:val="15"/>
        </w:rPr>
        <w:t>- Cover loading/empty/error states, form validation, mutation failures, keyboard access, and the primary end-to-end flow.</w:t>
      </w:r>
      <w:r>
        <w:br/>
      </w:r>
      <w:r>
        <w:rPr>
          <w:rFonts w:ascii="Consolas" w:hAnsi="Consolas"/>
          <w:color w:val="17324D"/>
          <w:sz w:val="15"/>
        </w:rPr>
        <w:t>- Do not weaken tests to hide a regression.</w:t>
      </w:r>
      <w:r>
        <w:br/>
      </w:r>
      <w:r>
        <w:rPr>
          <w:rFonts w:ascii="Consolas" w:hAnsi="Consolas"/>
          <w:color w:val="17324D"/>
          <w:sz w:val="15"/>
        </w:rPr>
        <w:t>- Run relevant tests, lint, type-check, and production build when available. Never claim checks passed unless they ran successfully.</w:t>
      </w:r>
      <w:r>
        <w:br/>
      </w:r>
      <w:r>
        <w:rPr>
          <w:rFonts w:ascii="Consolas" w:hAnsi="Consolas"/>
          <w:color w:val="17324D"/>
          <w:sz w:val="15"/>
        </w:rPr>
        <w:t>- Update relevant docs and environment examples.</w:t>
      </w:r>
      <w:r>
        <w:br/>
      </w:r>
      <w:r>
        <w:rPr>
          <w:rFonts w:ascii="Consolas" w:hAnsi="Consolas"/>
          <w:color w:val="17324D"/>
          <w:sz w:val="15"/>
        </w:rPr>
        <w:t>- Finish with summary, interaction/accessibility decisions, exact checks/results, limitations, and follow-ups.</w:t>
      </w:r>
      <w:r>
        <w:br/>
      </w:r>
      <w:r>
        <w:rPr>
          <w:rFonts w:ascii="Consolas" w:hAnsi="Consolas"/>
          <w:color w:val="17324D"/>
          <w:sz w:val="15"/>
        </w:rPr>
        <w:t>- Do not leave fake success paths, debugging code, unexplained TODOs, or unrelated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579"/>
        <w:sz w:val="16"/>
      </w:rPr>
      <w:t>Frontend Engineering Standards • React / TypeScript / Vite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26579"/>
        <w:sz w:val="16"/>
      </w:rPr>
      <w:t>SMART ENRICHMENT QUEUE  /  FRONTEND AGENT RULES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835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7C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Enrichment Queue — Frontend Agent Rules</dc:title>
  <dc:subject>Production-minded frontend rules for AI coding agents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