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Roboto" w:cs="Roboto" w:eastAsia="Roboto" w:hAnsi="Roboto"/>
          <w:b w:val="1"/>
          <w:sz w:val="28"/>
          <w:szCs w:val="28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u w:val="single"/>
          <w:rtl w:val="0"/>
        </w:rPr>
        <w:t xml:space="preserve">AMS LAB1: Simulation of a Capcitor’s VTC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Aim: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To simulate the VTC of a capacitor with a constant current source and a supply voltage of constant 2V DC.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Calculations: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6477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Simulation procedure: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Transient analysis at node vout was done which was between the cc source and the capacitor's positive terminal.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Schematic: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111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Netlists: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111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Analyses: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098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DC: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098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 Transient: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111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VTC Graph: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111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Results: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590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Conclusion: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As calculated in theory, the practical simulation results were the same, that is after a transient analysis of 1ms delay, the capacitor charges linearly until it reaches the 1V mark.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