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PRÁCTICA N.º 5 — HOJA DE EVIDENCIAS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F3D5C"/>
          <w:sz w:val="30"/>
          <w:szCs w:val="30"/>
        </w:rPr>
        <w:t xml:space="preserve">Comunicación de alto rendimiento con gRPC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B78"/>
          <w:sz w:val="19"/>
          <w:szCs w:val="19"/>
        </w:rPr>
        <w:t xml:space="preserve">COM-600 · Microservicios · Gestión 2/2026 · Tema 4 — Comunicación entre Microservicios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c>
          <w:tcPr>
            <w:tcW w:type="dxa" w:w="2600"/>
            <w:shd w:fill="E7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 y apellidos</w:t>
            </w:r>
          </w:p>
        </w:tc>
        <w:tc>
          <w:tcPr>
            <w:tcW w:type="dxa" w:w="71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E7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Código universitario (CU)</w:t>
            </w:r>
          </w:p>
        </w:tc>
        <w:tc>
          <w:tcPr>
            <w:tcW w:type="dxa" w:w="71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E7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Carrera y paralelo</w:t>
            </w:r>
          </w:p>
        </w:tc>
        <w:tc>
          <w:tcPr>
            <w:tcW w:type="dxa" w:w="71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E7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71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E7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Sistema operativo, versión de Node y de Docker</w:t>
            </w:r>
          </w:p>
        </w:tc>
        <w:tc>
          <w:tcPr>
            <w:tcW w:type="dxa" w:w="71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E7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Repositorio (URL)</w:t>
            </w:r>
          </w:p>
        </w:tc>
        <w:tc>
          <w:tcPr>
            <w:tcW w:type="dxa" w:w="71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746"/>
        <w:tblBorders>
          <w:top w:val="single" w:color="1F8A7A" w:sz="4"/>
          <w:left w:val="single" w:color="1F8A7A" w:sz="18"/>
          <w:bottom w:val="single" w:color="1F8A7A" w:sz="4"/>
          <w:right w:val="single" w:color="1F8A7A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line="25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8A7A"/>
                <w:sz w:val="20"/>
                <w:szCs w:val="20"/>
              </w:rPr>
              <w:t xml:space="preserve">Cómo se llena: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Este documento se completa mientras se ejecuta la Parte 1 del enunciado. Cada captura y cada pregunta lleva el mismo número aquí y allá.</w:t>
            </w:r>
          </w:p>
          <w:p>
            <w:pPr>
              <w:spacing w:after="8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Las capturas deben ser de su propia máquina: debe verse el nombre de usuario o del equipo en la terminal. Recorte solo lo necesario, pero que el comando y su salida se lean con claridad.</w:t>
            </w:r>
          </w:p>
          <w:p>
            <w:pPr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 terminar, exporte este archivo a PDF y súbalo a la plataforma junto con el enlace del repositorio.</w:t>
            </w:r>
          </w:p>
        </w:tc>
      </w:tr>
    </w:tbl>
    <w:p>
      <w:pPr>
        <w:pBdr>
          <w:bottom w:val="single" w:color="D6DEE5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0F3D5C"/>
          <w:sz w:val="24"/>
          <w:szCs w:val="24"/>
        </w:rPr>
        <w:t xml:space="preserve">Control de avance</w:t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Marque con una X a medida que complete cada laboratorio.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500"/>
        <w:gridCol w:w="1500"/>
        <w:gridCol w:w="1546"/>
      </w:tblGrid>
      <w:tr>
        <w:trPr>
          <w:tblHeader/>
        </w:trPr>
        <w:tc>
          <w:tcPr>
            <w:tcW w:type="dxa" w:w="5200"/>
            <w:shd w:fill="E7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Laboratorio</w:t>
            </w:r>
          </w:p>
        </w:tc>
        <w:tc>
          <w:tcPr>
            <w:tcW w:type="dxa" w:w="1500"/>
            <w:shd w:fill="E7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Capturas</w:t>
            </w:r>
          </w:p>
        </w:tc>
        <w:tc>
          <w:tcPr>
            <w:tcW w:type="dxa" w:w="1500"/>
            <w:shd w:fill="E7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Preguntas</w:t>
            </w:r>
          </w:p>
        </w:tc>
        <w:tc>
          <w:tcPr>
            <w:tcW w:type="dxa" w:w="1546"/>
            <w:shd w:fill="E7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Laboratorio 0 — Entorno y proyecto base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1, 2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X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Laboratorio 1 — El archivo .proto como contrato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3, 4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X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Laboratorio 2 — El servidor y la primera llamada unaria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5, 6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X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Laboratorio 3 — El cliente y los códigos de estado de gRPC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7, 8, 9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X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Laboratorio 4 — Streaming: cuando una sola respuesta no alcanza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10, 11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X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Laboratorio 5 — Evolución del contrato: agregar sin romper, y romper a propósito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12, 13, 14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6, 7</w:t>
            </w:r>
          </w:p>
        </w:tc>
        <w:tc>
          <w:tcPr>
            <w:tcW w:type="dxa" w:w="15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X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Laboratorio 6 — Medir contra REST y empaquetar en la red de Docker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15, 16, 17, 18, 19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X</w:t>
            </w:r>
          </w:p>
        </w:tc>
      </w:tr>
    </w:tbl>
    <w:p>
      <w:pPr>
        <w:pBdr>
          <w:top w:val="single" w:color="1F8A7A" w:sz="12" w:space="6"/>
          <w:bottom w:val="single" w:color="1F8A7A" w:sz="12" w:space="6"/>
        </w:pBdr>
        <w:spacing w:after="140" w:befor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4"/>
          <w:szCs w:val="24"/>
        </w:rPr>
        <w:t xml:space="preserve">PARTE 1 — EVIDENCIAS DE LOS LABORATORIOS</w:t>
      </w:r>
    </w:p>
    <w:p>
      <w:pPr>
        <w:pBdr>
          <w:bottom w:val="single" w:color="D6DEE5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0F3D5C"/>
          <w:sz w:val="24"/>
          <w:szCs w:val="24"/>
        </w:rPr>
        <w:t xml:space="preserve">Laboratorio 0 — Entorno y proyecto base</w:t>
      </w: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1: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salida de los cuatro comandos anteriores en su terminal, incluido el código 200 del servicio REST.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F3D5C"/>
          <w:sz w:val="20"/>
          <w:szCs w:val="20"/>
        </w:rPr>
        <w:t xml:space="preserve">Pregunta N.º 1.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Ya cuenta con un servicio REST y con una capa GraphQL. Describa una situación concreta de su proyecto integrador —quién llama a quién, cada cuánto y con qué volumen de datos— en la que agregar un tercer estilo de comunicación estaría justificado. Si no encuentra ninguna, dígalo y explique por qué.</w:t>
      </w:r>
    </w:p>
    <w:tbl>
      <w:tblPr>
        <w:tblW w:type="dxa" w:w="9746"/>
        <w:tblBorders>
          <w:top w:val="single" w:color="D6DEE5" w:sz="4"/>
          <w:left w:val="single" w:color="D6DEE5" w:sz="4"/>
          <w:bottom w:val="single" w:color="D6DEE5" w:sz="4"/>
          <w:right w:val="single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14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En nuestro proyecto integrador (Plataforma de Comercio Electrónico y Gestión de Pedidos), el servicio de Procesamiento de Pedidos (Order Service) necesita comunicarse intensivamente con el servicio de Inventario y Validación de Stock (Inventory Service).</w:t>
              <w:br/>
              <w:br/>
              <w:t>• Quién llama a quién: El servicio de Pedidos llama al servicio de Inventario de manera síncrona en cada transacción de checkout para verificar existencias y reservar unidades en tiempo real.</w:t>
              <w:br/>
              <w:t>• Cada cuánto: Decenas a cientos de llamadas por segundo durante picos de demanda o eventos de venta masiva.</w:t>
              <w:br/>
              <w:t>• Volumen de datos: Cargas pequeñas a medianas (listas de 5 a 20 items con IDs y cantidades), pero con una restricción estricta de latencia ultra baja (&lt; 3 ms) y tipado binario riguroso.</w:t>
              <w:br/>
              <w:t>• Justificación: Agregar gRPC como tercer estilo de comunicación está plenamente justificado porque elimina la sobrecarga de serialización/deserialización de JSON en texto plano y las cabeceras redundantes de HTTP/1.1 de REST, aprovechando la multiplexación de HTTP/2 y la serialización binaria compacta de Protocol Buffers para optimizar el throughput y reducir el consumo de CPU en el backend interno.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2: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salida de npm install mostrando los dos paquetes instalados y la estructura de carpetas creada.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pBdr>
          <w:bottom w:val="single" w:color="D6DEE5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0F3D5C"/>
          <w:sz w:val="24"/>
          <w:szCs w:val="24"/>
        </w:rPr>
        <w:t xml:space="preserve">Laboratorio 1 — El archivo .proto como contrato</w:t>
      </w: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3: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salida de node src/inspeccionar.js con los tipos declarados y la ruta de los dos métodos.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4: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salida de node src/bytes.js mostrando los dos tamaños y el volcado hexadecimal del mensaje protobuf.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F3D5C"/>
          <w:sz w:val="20"/>
          <w:szCs w:val="20"/>
        </w:rPr>
        <w:t xml:space="preserve">Pregunta N.º 2.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En el volcado hexadecimal no aparece ninguno de los nombres de campo, solo sus números. Enuncie dos consecuencias prácticas de ese hecho para el equipo que mantiene el .proto: una favorable y una peligrosa.</w:t>
      </w:r>
    </w:p>
    <w:tbl>
      <w:tblPr>
        <w:tblW w:type="dxa" w:w="9746"/>
        <w:tblBorders>
          <w:top w:val="single" w:color="D6DEE5" w:sz="4"/>
          <w:left w:val="single" w:color="D6DEE5" w:sz="4"/>
          <w:bottom w:val="single" w:color="D6DEE5" w:sz="4"/>
          <w:right w:val="single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14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1. Consecuencia favorable:</w:t>
              <w:br/>
              <w:t>• Eficiencia y reducción de payload: Al no transmitir los nombres de los campos como cadenas de texto (como "ci", "nombres", "carrera"), el tamaño del mensaje se reduce drásticamente ahorrando ancho de banda.</w:t>
              <w:br/>
              <w:t>• Flexibilidad de refactorización: Permite que el equipo de desarrollo renombre campos en el archivo .proto (por ejemplo, renombrar "nombres" por "primer_nombre") sin romper la compatibilidad con clientes existentes que ya utilicen el mismo número de campo.</w:t>
              <w:br/>
              <w:br/>
              <w:t>2. Consecuencia peligrosa:</w:t>
              <w:br/>
              <w:t>• Riesgo de corrupción silenciosa de datos: Si un desarrollador cambia o reutiliza el número de un campo previamente asignado a otro dato (por ejemplo, reutilizar el tag 4 para "correo" cuando antes correspondía a "carrera"), el deserializador inyectará los datos del nuevo tipo en la propiedad antigua del cliente sin generar ningún error ni excepción en tiempo de ejecución. Esto provoca datos inconsistentes o corruptos difíciles de detectar en producción a menos que se declare "reserved".</w:t>
            </w:r>
          </w:p>
        </w:tc>
      </w:tr>
    </w:tbl>
    <w:p>
      <w:pPr>
        <w:spacing w:after="160"/>
      </w:pPr>
    </w:p>
    <w:p>
      <w:pPr>
        <w:pBdr>
          <w:bottom w:val="single" w:color="D6DEE5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0F3D5C"/>
          <w:sz w:val="24"/>
          <w:szCs w:val="24"/>
        </w:rPr>
        <w:t xml:space="preserve">Laboratorio 2 — El servidor y la primera llamada unaria</w:t>
      </w: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5: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 terminal con el mensaje «Servicio gRPC escuchando en el puerto 50051».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6: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las dos llamadas de grpcurl con sus respuestas en la segunda terminal.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F3D5C"/>
          <w:sz w:val="20"/>
          <w:szCs w:val="20"/>
        </w:rPr>
        <w:t xml:space="preserve">Pregunta N.º 3.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A la API REST de la Práctica 3 le pudo hablar con curl sin darle ningún archivo adicional; a este servicio hay que pasarle el .proto. Explique a qué se debe esa diferencia y qué gana y qué pierde un equipo por ella.</w:t>
      </w:r>
    </w:p>
    <w:tbl>
      <w:tblPr>
        <w:tblW w:type="dxa" w:w="9746"/>
        <w:tblBorders>
          <w:top w:val="single" w:color="D6DEE5" w:sz="4"/>
          <w:left w:val="single" w:color="D6DEE5" w:sz="4"/>
          <w:bottom w:val="single" w:color="D6DEE5" w:sz="4"/>
          <w:right w:val="single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14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• Causa de la diferencia: La API REST utiliza formatos de texto auto-descriptivos (JSON sobre HTTP/1.1), donde las claves y valores viajan explícitos en texto plano legible por humanos, permitiendo a clientes genéricos como curl inspeccionar e interactuar sin esquemas previos. En contraste, gRPC serializa los datos en formato binario compacto (Protocol Buffers) donde solo viajan números de campo (tags) y valores binarios; por ende, herramientas como grpcurl o clientes gRPC requieren obligatoriamente el archivo de contrato .proto para saber cómo empaquetar y deserializar los bytes.</w:t>
              <w:br/>
              <w:br/>
              <w:t>• Qué se gana:</w:t>
              <w:br/>
              <w:t xml:space="preserve">  1. Rendimiento superior: payloads binarios significativamente más livianos y serialización ultra rápida.</w:t>
              <w:br/>
              <w:t xml:space="preserve">  2. Contrato estricto y tipado formal garantizado en tiempo de compilación entre microservicios, eliminando ambigüedades.</w:t>
              <w:br/>
              <w:br/>
              <w:t>• Qué se pierde:</w:t>
              <w:br/>
              <w:t xml:space="preserve">  1. Depuración e inspección directa en texto plano: no es posible probar endpoints directamente desde un navegador web estándar o con curl básico sin el esquema o reflexión habilitada.</w:t>
              <w:br/>
              <w:t xml:space="preserve">  2. Mayor acoplamiento operacional al requerir sincronizar el contrato .proto entre todos los clientes.</w:t>
            </w:r>
          </w:p>
        </w:tc>
      </w:tr>
    </w:tbl>
    <w:p>
      <w:pPr>
        <w:spacing w:after="160"/>
      </w:pPr>
    </w:p>
    <w:p>
      <w:pPr>
        <w:pBdr>
          <w:bottom w:val="single" w:color="D6DEE5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0F3D5C"/>
          <w:sz w:val="24"/>
          <w:szCs w:val="24"/>
        </w:rPr>
        <w:t xml:space="preserve">Laboratorio 3 — El cliente y los códigos de estado de gRPC</w:t>
      </w: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7: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salida de node src/cliente.js con el estudiante agregado y luego obtenido.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8: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las dos ejecuciones de buscar.js: la que devuelve NOT_FOUND con su código 5 y la que encuentra al estudiante.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F3D5C"/>
          <w:sz w:val="20"/>
          <w:szCs w:val="20"/>
        </w:rPr>
        <w:t xml:space="preserve">Pregunta N.º 4.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 servicio A llama a su servicio B y recibe un error. Explique por qué la decisión de reintentar la llamada no puede ser la misma si el código es UNAVAILABLE (14) que si es DEADLINE_EXCEEDED (4). Use un ejemplo de su proyecto integrador en el que reintentar por error causaría un daño real.</w:t>
      </w:r>
    </w:p>
    <w:tbl>
      <w:tblPr>
        <w:tblW w:type="dxa" w:w="9746"/>
        <w:tblBorders>
          <w:top w:val="single" w:color="D6DEE5" w:sz="4"/>
          <w:left w:val="single" w:color="D6DEE5" w:sz="4"/>
          <w:bottom w:val="single" w:color="D6DEE5" w:sz="4"/>
          <w:right w:val="single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14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• Diferencia fundamental de reintento:</w:t>
              <w:br/>
              <w:t xml:space="preserve">  - UNAVAILABLE (14): Significa que el canal de comunicación no se pudo establecer (servidor caído, en reinicio o error de red previo). La petición NUNCA llegó al servidor B ni fue procesada, por lo que reintentar la llamada es completamente seguro e idempotente.</w:t>
              <w:br/>
              <w:t xml:space="preserve">  - DEADLINE_EXCEEDED (4): Significa que el cliente agotó su tiempo de espera límite (timeout), pero la petición SÍ pudo haber alcanzado al servidor B y este podría estar todavía procesándola o haber completado la transacción.</w:t>
              <w:br/>
              <w:br/>
              <w:t>• Ejemplo y daño real en el proyecto integrador:</w:t>
              <w:br/>
              <w:t xml:space="preserve">  En nuestro microservicio de Facturación y Cobros, al invocar la operación "CobrarTransaccionQR" o "DescontarSaldo": si la llamada falla con DEADLINE_EXCEEDED debido a lentitud en la pasarela de pagos y el cliente reintenta automáticamente la petición a ciegas, causará un DOBLE COBRO o débito duplicado al usuario, generando perjuicio financiero real e inconsistencia grave de saldos.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9: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las dos llamadas fallidas mostrando los códigos Unimplemented y DeadlineExceeded.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pBdr>
          <w:bottom w:val="single" w:color="D6DEE5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0F3D5C"/>
          <w:sz w:val="24"/>
          <w:szCs w:val="24"/>
        </w:rPr>
        <w:t xml:space="preserve">Laboratorio 4 — Streaming: cuando una sola respuesta no alcanza</w:t>
      </w: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10: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salida de node src/listar.js mostrando el estudiante recibido por el flujo y el mensaje «fin del flujo».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11: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salida de node src/listar.js Sistemas con los tiempos del primer y del último estudiante recibidos.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F3D5C"/>
          <w:sz w:val="20"/>
          <w:szCs w:val="20"/>
        </w:rPr>
        <w:t xml:space="preserve">Pregunta N.º 5.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Describa una operación de su proyecto integrador en la que el flujo del servidor sería una mejora real frente a devolver el arreglo completo, y otra en la que sería una complicación sin beneficio. Justifique cada caso con el volumen de datos y con lo que el cliente hace mientras espera.</w:t>
      </w:r>
    </w:p>
    <w:tbl>
      <w:tblPr>
        <w:tblW w:type="dxa" w:w="9746"/>
        <w:tblBorders>
          <w:top w:val="single" w:color="D6DEE5" w:sz="4"/>
          <w:left w:val="single" w:color="D6DEE5" w:sz="4"/>
          <w:bottom w:val="single" w:color="D6DEE5" w:sz="4"/>
          <w:right w:val="single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14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• Caso donde el flujo del servidor (Streaming) es una MEJORA REAL:</w:t>
              <w:br/>
              <w:t xml:space="preserve">  - Operación: Consulta y sincronización masiva de catálogo histórico de pedidos o inventario (ej. listar 5,000 o más registros para auditoría o exportación).</w:t>
              <w:br/>
              <w:t xml:space="preserve">  - Justificación: Con streaming, el servidor envía los registros de inmediato por el canal HTTP/2 y el cliente recibe el primer elemento en ~1.8 ms (Time To First Byte muy bajo). Mientras los demás elementos continúan transfiriéndose, el cliente ya puede procesar, indexar o renderizar progresivamente en memoria sin esperar a que el servidor arme un payload gigante ni agotar la memoria RAM.</w:t>
              <w:br/>
              <w:br/>
              <w:t>• Caso donde el flujo del servidor es una COMPLICACIÓN SIN BENEFICIO:</w:t>
              <w:br/>
              <w:t xml:space="preserve">  - Operación: Consulta del detalle de un pedido específico por su ID (que contiene de 1 a 5 productos).</w:t>
              <w:br/>
              <w:t xml:space="preserve">  - Justificación: El volumen de datos es mínimo (&lt; 500 bytes) y el cliente necesita obligatoriamente tener todos los datos completos del pedido para calcular y mostrar el total de la compra antes de continuar. Utilizar streaming en este escenario solo añade complejidad innecesaria de manejo de eventos (data, end, error) y sobrecarga de framing sin ningún beneficio de rendimiento.</w:t>
            </w:r>
          </w:p>
        </w:tc>
      </w:tr>
    </w:tbl>
    <w:p>
      <w:pPr>
        <w:spacing w:after="160"/>
      </w:pPr>
    </w:p>
    <w:p>
      <w:pPr>
        <w:pBdr>
          <w:bottom w:val="single" w:color="D6DEE5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0F3D5C"/>
          <w:sz w:val="24"/>
          <w:szCs w:val="24"/>
        </w:rPr>
        <w:t xml:space="preserve">Laboratorio 5 — Evolución del contrato: agregar sin romper, y romper a propósito</w:t>
      </w: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12: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las dos ejecuciones seguidas: el cliente nuevo mostrando el correo y el cliente viejo respondiendo bien sin ese campo.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13: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 salida del cliente viejo mostrando el valor equivocado en el campo carrera, sin ningún mensaje de error.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F3D5C"/>
          <w:sz w:val="20"/>
          <w:szCs w:val="20"/>
        </w:rPr>
        <w:t xml:space="preserve">Pregunta N.º 6.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Este cambio no produjo ningún error: produjo un dato incorrecto que parece correcto. Compárelo con lo que habría pasado en la API REST de la Práctica 3 si alguien renombra un campo del JSON. ¿Cuál de las dos fallas es más fácil de detectar y por qué?</w:t>
      </w:r>
    </w:p>
    <w:tbl>
      <w:tblPr>
        <w:tblW w:type="dxa" w:w="9746"/>
        <w:tblBorders>
          <w:top w:val="single" w:color="D6DEE5" w:sz="4"/>
          <w:left w:val="single" w:color="D6DEE5" w:sz="4"/>
          <w:bottom w:val="single" w:color="D6DEE5" w:sz="4"/>
          <w:right w:val="single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14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• En la API REST (JSON): Si se renombra un campo (ej. "carrera" a "correo"), el cliente que intente acceder a "res.carrera" recibirá "undefined". Esto produce inmediatamente un fallo explícito y visible (ej. "TypeError: Cannot read properties of undefined" o campos vacíos en pruebas unitarias), lo cual se detecta en segundos durante el desarrollo o pruebas automatizadas.</w:t>
              <w:br/>
              <w:br/>
              <w:t>• En gRPC (Protobuf): Al reordenar o intercambiar números de campo (tags), el deserializador del cliente viejo asigna el nuevo valor (la dirección de correo) a la propiedad "carrera" sin disparar ningún error sintáctico, excepción de red ni advertencia en consola. La aplicación sigue funcionando normalmente en apariencia, pero mostrando un correo en la columna de carreras.</w:t>
              <w:br/>
              <w:br/>
              <w:t>• Conclusión: La falla en REST es MUCHO MÁS FÁCIL DE DETECTAR porque falla de forma ruidosa y explícita. La falla en gRPC es una CORRUPCIÓN SILENCIOSA DE DATOS, lo cual es sumamente peligroso porque contamina bases de datos y reportes sin ser percibida de inmediato.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14: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el error de carga del .proto al intentar reutilizar un número reservado, y el arranque correcto una vez corregido.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F3D5C"/>
          <w:sz w:val="20"/>
          <w:szCs w:val="20"/>
        </w:rPr>
        <w:t xml:space="preserve">Pregunta N.º 7.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Formule, en una sola frase y con sus palabras, la regla que su equipo debería escribir en el README del repositorio para que nadie vuelva a reutilizar el número de un campo. Indique además quién debería revisarla y en qué momento del trabajo.</w:t>
      </w:r>
    </w:p>
    <w:tbl>
      <w:tblPr>
        <w:tblW w:type="dxa" w:w="9746"/>
        <w:tblBorders>
          <w:top w:val="single" w:color="D6DEE5" w:sz="4"/>
          <w:left w:val="single" w:color="D6DEE5" w:sz="4"/>
          <w:bottom w:val="single" w:color="D6DEE5" w:sz="4"/>
          <w:right w:val="single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14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• Regla para el README:</w:t>
              <w:br/>
              <w:t xml:space="preserve">  "Nunca modifique ni reutilice el número de un campo existente en un archivo .proto; si un campo deja de utilizarse, márquelo obligatoriamente con reserved &lt;número&gt;; reserved \"&lt;nombre&gt;\"; y asigne siempre un nuevo número secuencial a cualquier nuevo campo."</w:t>
              <w:br/>
              <w:br/>
              <w:t>• Quién debe revisarla: El Tech Lead / Revisor de Código (Peer Reviewer) o un linter automatizado de contratos (como buf lint / buf breaking).</w:t>
              <w:br/>
              <w:t>• En qué momento: En la etapa de diseño de la interfaz y de manera obligatoria durante la revisión del Pull Request antes de fusionar código a la rama principal.</w:t>
            </w:r>
          </w:p>
        </w:tc>
      </w:tr>
    </w:tbl>
    <w:p>
      <w:pPr>
        <w:spacing w:after="160"/>
      </w:pPr>
    </w:p>
    <w:p>
      <w:pPr>
        <w:pBdr>
          <w:bottom w:val="single" w:color="D6DEE5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0F3D5C"/>
          <w:sz w:val="24"/>
          <w:szCs w:val="24"/>
        </w:rPr>
        <w:t xml:space="preserve">Laboratorio 6 — Medir contra REST y empaquetar en la red de Docker</w:t>
      </w: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15: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las mediciones con curl del servicio REST, con el tamaño en bytes y el tiempo de cada llamada.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16: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salida de node src/medir.js con el promedio de las diez llamadas y los dos tamaños de la respuesta.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17: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 tabla de comparación completada con sus propias mediciones de las Prácticas 3, 4 y 5.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F3D5C"/>
          <w:sz w:val="20"/>
          <w:szCs w:val="20"/>
        </w:rPr>
        <w:t xml:space="preserve">Pregunta N.º 8.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Con sus tres columnas a la vista: ¿por qué sería un error exponer este servicio gRPC directamente al navegador de un usuario final, aunque sea el más rápido de los tres? Y a la inversa: ¿por qué sería un error que sus servicios internos se hablen entre ellos por REST si ya tienen este contrato?</w:t>
      </w:r>
    </w:p>
    <w:tbl>
      <w:tblPr>
        <w:tblW w:type="dxa" w:w="9746"/>
        <w:tblBorders>
          <w:top w:val="single" w:color="D6DEE5" w:sz="4"/>
          <w:left w:val="single" w:color="D6DEE5" w:sz="4"/>
          <w:bottom w:val="single" w:color="D6DEE5" w:sz="4"/>
          <w:right w:val="single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14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1. ¿Por qué sería un error exponer gRPC directamente al navegador final?</w:t>
              <w:br/>
              <w:t>Porque los navegadores estándar no soportan el control nativo de tramas HTTP/2 requerido por gRPC sin utilizar proxies intermediarios como gRPC-Web / Envoy. Además, se perdería la facilidad de consumo estándar de la web (fetch/JSON) y la capacidad de inspección sencilla en herramientas de desarrollador, perjudicando la interoperabilidad con clientes heterogéneos y de terceros.</w:t>
              <w:br/>
              <w:br/>
              <w:t>2. ¿Por qué sería un error usar REST entre servicios internos si ya se tiene el contrato gRPC?</w:t>
              <w:br/>
              <w:t>Porque REST introduce una sobrecarga innecesaria de serialización/deserialización de cadenas de texto JSON, mayor consumo de ancho de banda por nombres de claves repetitivas y mayor latencia por la falta de multiplexación eficiente de conexiones persistentes. gRPC optimiza el rendimiento interno al utilizar un formato binario compacto y provee un contrato fuertemente tipado que previene inconsistencias entre microservicios.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18: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 respuesta de curl al servicio REST devolviendo datos que vinieron por gRPC, junto a la salida de docker compose ps con los dos contenedores.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19: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 página del repositorio en GitHub mostrando la carpeta practica5-grpc con proto/, proto-v1/, src/, el Dockerfile y el README.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pBdr>
          <w:bottom w:val="single" w:color="D6DEE5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0F3D5C"/>
          <w:sz w:val="24"/>
          <w:szCs w:val="24"/>
        </w:rPr>
        <w:t xml:space="preserve">Cierre de la Parte 1</w:t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Responda brevemente antes de entregar:</w:t>
      </w:r>
    </w:p>
    <w:p>
      <w:pPr>
        <w:spacing w:after="6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¿Qué parte de la práctica le resultó más difícil y por qué?</w:t>
      </w:r>
    </w:p>
    <w:tbl>
      <w:tblPr>
        <w:tblW w:type="dxa" w:w="9746"/>
        <w:tblBorders>
          <w:top w:val="single" w:color="D6DEE5" w:sz="4"/>
          <w:left w:val="single" w:color="D6DEE5" w:sz="4"/>
          <w:bottom w:val="single" w:color="D6DEE5" w:sz="4"/>
          <w:right w:val="single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9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La comprensión profunda de la evolución de contratos y el mecanismo de ruptura silenciosa de datos. Fue sumamente ilustrativo observar cómo un simple intercambio de números de campo (tags) produce datos erróneos sin que el compilador o runtime emita ninguna advertencia, destacando la importancia crítica del uso de "reserved".</w:t>
            </w:r>
          </w:p>
        </w:tc>
      </w:tr>
    </w:tbl>
    <w:p>
      <w:pPr>
        <w:spacing w:after="140"/>
      </w:pPr>
    </w:p>
    <w:p>
      <w:pPr>
        <w:spacing w:after="6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¿Qué error tuvo que resolver por su cuenta y cómo lo resolvió?</w:t>
      </w:r>
    </w:p>
    <w:tbl>
      <w:tblPr>
        <w:tblW w:type="dxa" w:w="9746"/>
        <w:tblBorders>
          <w:top w:val="single" w:color="D6DEE5" w:sz="4"/>
          <w:left w:val="single" w:color="D6DEE5" w:sz="4"/>
          <w:bottom w:val="single" w:color="D6DEE5" w:sz="4"/>
          <w:right w:val="single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9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La configuración de la dirección de enlace de red (GRPC_ADDR=0.0.0.0:50051) para que el servicio gRPC fuera alcanzable dentro de la red privada de Docker por parte del servicio REST consumidor (evitando el error común de escuchar únicamente en 127.0.0.1 / localhost dentro del contenedor).</w:t>
            </w:r>
          </w:p>
        </w:tc>
      </w:tr>
    </w:tbl>
    <w:p>
      <w:pPr>
        <w:spacing w:after="140"/>
      </w:pPr>
    </w:p>
    <w:p>
      <w:pPr>
        <w:spacing w:after="6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¿Qué haría distinto si tuviera que repetir esta práctica?</w:t>
      </w:r>
    </w:p>
    <w:tbl>
      <w:tblPr>
        <w:tblW w:type="dxa" w:w="9746"/>
        <w:tblBorders>
          <w:top w:val="single" w:color="D6DEE5" w:sz="4"/>
          <w:left w:val="single" w:color="D6DEE5" w:sz="4"/>
          <w:bottom w:val="single" w:color="D6DEE5" w:sz="4"/>
          <w:right w:val="single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9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Implementaría desde el primer momento herramientas de linting automatizado de contratos Protocol Buffers (como el CLI de Buf) en el flujo de integración continua (CI) para detectar automáticamente campos rotos o falta de cláusulas reserved antes de compilar los servicios.</w:t>
            </w:r>
          </w:p>
        </w:tc>
      </w:tr>
    </w:tbl>
    <w:p>
      <w:pPr>
        <w:spacing w:after="140"/>
      </w:pPr>
    </w:p>
    <w:p>
      <w:pPr>
        <w:spacing w:after="200"/>
      </w:pPr>
    </w:p>
    <w:tbl>
      <w:tblPr>
        <w:tblW w:type="dxa" w:w="9746"/>
        <w:tblBorders>
          <w:top w:val="single" w:color="B3261E" w:sz="4"/>
          <w:left w:val="single" w:color="B3261E" w:sz="18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261E"/>
                <w:sz w:val="20"/>
                <w:szCs w:val="20"/>
              </w:rPr>
              <w:t xml:space="preserve">Declaración de autoría: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Declaro que las capturas presentadas fueron tomadas en mi propio equipo y que las respuestas son de mi autoría. Entiendo que presentar evidencias de otra persona anula la Parte 1 de esta práctica.</w:t>
            </w:r>
          </w:p>
        </w:tc>
      </w:tr>
    </w:tbl>
    <w:p>
      <w:pPr>
        <w:spacing w:after="40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B78"/>
                <w:sz w:val="18"/>
                <w:szCs w:val="18"/>
              </w:rPr>
              <w:t xml:space="preserve">Firma del estudiante</w:t>
            </w:r>
          </w:p>
        </w:tc>
        <w:tc>
          <w:tcPr>
            <w:tcW w:type="dxa" w:w="48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B78"/>
                <w:sz w:val="18"/>
                <w:szCs w:val="18"/>
              </w:rPr>
              <w:t xml:space="preserve">Fecha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00" w:right="1080" w:bottom="1080" w:left="1080" w:header="56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EE5" w:sz="4" w:space="3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8F9EAA"/>
        <w:sz w:val="15"/>
        <w:szCs w:val="15"/>
      </w:rPr>
      <w:t xml:space="preserve">COM-600 Microservicios · Práctica N.º 5 · Hoja de Evidencias</w:t>
    </w:r>
    <w:r>
      <w:rPr>
        <w:rFonts w:ascii="Arial" w:cs="Arial" w:eastAsia="Arial" w:hAnsi="Arial"/>
        <w:sz w:val="15"/>
        <w:szCs w:val="15"/>
      </w:rPr>
      <w:ptab w:alignment="right" w:relativeTo="margin"/>
    </w:r>
    <w:r>
      <w:rPr>
        <w:rFonts w:ascii="Arial" w:cs="Arial" w:eastAsia="Arial" w:hAnsi="Arial"/>
        <w:color w:val="8F9EAA"/>
        <w:sz w:val="15"/>
        <w:szCs w:val="15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none"/>
        <w:left w:val="none"/>
        <w:bottom w:val="single" w:color="D6DEE5" w:sz="4"/>
        <w:right w:val="none"/>
        <w:insideH w:val="none"/>
        <w:insideV w:val="none"/>
      </w:tblBorders>
    </w:tblPr>
    <w:tblGrid>
      <w:gridCol w:w="6400"/>
      <w:gridCol w:w="3346"/>
    </w:tblGrid>
    <w:tr>
      <w:tc>
        <w:tcPr>
          <w:tcW w:type="dxa" w:w="640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0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F3D5C"/>
              <w:sz w:val="15"/>
              <w:szCs w:val="15"/>
            </w:rPr>
            <w:t xml:space="preserve">UNIVERSIDAD MAYOR REAL Y PONTIFICIA DE SAN FRANCISCO XAVIER DE CHUQUISACA</w:t>
          </w:r>
        </w:p>
        <w:p>
          <w:pPr>
            <w:spacing w:after="40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5A6B78"/>
              <w:sz w:val="15"/>
              <w:szCs w:val="15"/>
            </w:rPr>
            <w:t xml:space="preserve">Facultad de Ciencia y Tecnología · COM-600 Microservicios</w:t>
          </w:r>
        </w:p>
      </w:tc>
      <w:tc>
        <w:tcPr>
          <w:tcW w:type="dxa" w:w="3346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1F8A7A"/>
              <w:sz w:val="15"/>
              <w:szCs w:val="15"/>
            </w:rPr>
            <w:t xml:space="preserve">PRÁCTICA N.º 5</w:t>
          </w:r>
        </w:p>
      </w:tc>
    </w:tr>
  </w:tbl>
  <w:p>
    <w:pP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N.º 5 — Comunicación de alto rendimiento con gRPC — Hoja de Evidencias</dc:title>
  <dc:creator>Montellano Barriga Carlos David</dc:creator>
  <cp:lastModifiedBy>Un-named</cp:lastModifiedBy>
  <cp:revision>1</cp:revision>
  <dcterms:created xsi:type="dcterms:W3CDTF">2026-08-27T21:24:32.103Z</dcterms:created>
  <dcterms:modified xsi:type="dcterms:W3CDTF">2026-08-27T21:24:32.104Z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