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1F8A7A"/>
          <w:sz w:val="20"/>
          <w:szCs w:val="20"/>
        </w:rPr>
        <w:t xml:space="preserve">PRÁCTICA N.º 6 — HOJA DE EVIDENCIAS</w:t>
      </w:r>
    </w:p>
    <w:p>
      <w:pPr>
        <w:spacing w:after="60"/>
      </w:pPr>
      <w:r>
        <w:rPr>
          <w:rFonts w:ascii="Arial" w:cs="Arial" w:eastAsia="Arial" w:hAnsi="Arial"/>
          <w:b/>
          <w:bCs/>
          <w:i w:val="false"/>
          <w:iCs w:val="false"/>
          <w:color w:val="0F3D5C"/>
          <w:sz w:val="30"/>
          <w:szCs w:val="30"/>
        </w:rPr>
        <w:t xml:space="preserve">Mensajería asíncrona con RabbitMQ</w:t>
      </w:r>
    </w:p>
    <w:p>
      <w:pPr>
        <w:spacing w:after="200"/>
      </w:pPr>
      <w:r>
        <w:rPr>
          <w:rFonts w:ascii="Arial" w:cs="Arial" w:eastAsia="Arial" w:hAnsi="Arial"/>
          <w:b w:val="false"/>
          <w:bCs w:val="false"/>
          <w:i w:val="false"/>
          <w:iCs w:val="false"/>
          <w:color w:val="5A6B78"/>
          <w:sz w:val="19"/>
          <w:szCs w:val="19"/>
        </w:rPr>
        <w:t xml:space="preserve">COM-600 · Microservicios · Gestión 2/2026 · Tema 4 — Comunicación entre Microservicios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shd w:fill="E7EEF3" w:color="auto"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Nombre y apellidos</w:t>
            </w:r>
          </w:p>
        </w:tc>
        <w:tc>
          <w:tcPr>
            <w:tcW w:type="dxa" w:w="7146"/>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
            </w:r>
          </w:p>
        </w:tc>
      </w:tr>
      <w:tr>
        <w:tc>
          <w:tcPr>
            <w:tcW w:type="dxa" w:w="2600"/>
            <w:shd w:fill="E7EEF3" w:color="auto"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Código universitario (CU)</w:t>
            </w:r>
          </w:p>
        </w:tc>
        <w:tc>
          <w:tcPr>
            <w:tcW w:type="dxa" w:w="7146"/>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
            </w:r>
          </w:p>
        </w:tc>
      </w:tr>
      <w:tr>
        <w:tc>
          <w:tcPr>
            <w:tcW w:type="dxa" w:w="2600"/>
            <w:shd w:fill="E7EEF3" w:color="auto"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Carrera y paralelo</w:t>
            </w:r>
          </w:p>
        </w:tc>
        <w:tc>
          <w:tcPr>
            <w:tcW w:type="dxa" w:w="7146"/>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
            </w:r>
          </w:p>
        </w:tc>
      </w:tr>
      <w:tr>
        <w:tc>
          <w:tcPr>
            <w:tcW w:type="dxa" w:w="2600"/>
            <w:shd w:fill="E7EEF3" w:color="auto"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Fecha de entrega</w:t>
            </w:r>
          </w:p>
        </w:tc>
        <w:tc>
          <w:tcPr>
            <w:tcW w:type="dxa" w:w="7146"/>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
            </w:r>
          </w:p>
        </w:tc>
      </w:tr>
      <w:tr>
        <w:tc>
          <w:tcPr>
            <w:tcW w:type="dxa" w:w="2600"/>
            <w:shd w:fill="E7EEF3" w:color="auto"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Sistema operativo, versión de Node, de Docker y de la imagen de RabbitMQ</w:t>
            </w:r>
          </w:p>
        </w:tc>
        <w:tc>
          <w:tcPr>
            <w:tcW w:type="dxa" w:w="7146"/>
            <w:tcMar>
              <w:top w:type="dxa" w:w="60"/>
              <w:left w:type="dxa" w:w="100"/>
              <w:bottom w:type="dxa" w:w="60"/>
              <w:right w:type="dxa" w:w="100"/>
            </w:tcMar>
            <w:vAlign w:val="center"/>
          </w:tcPr>
          <w:p>
            <w:r>
              <w:t>Windows 11 Pro 64-bit | Node.js v24.14.0 | Docker Engine v29.2.1 | Imagen rabbitmq:3.13-management</w:t>
            </w:r>
          </w:p>
        </w:tc>
      </w:tr>
      <w:tr>
        <w:tc>
          <w:tcPr>
            <w:tcW w:type="dxa" w:w="2600"/>
            <w:shd w:fill="E7EEF3" w:color="auto" w:val="clear"/>
            <w:tcMar>
              <w:top w:type="dxa" w:w="60"/>
              <w:left w:type="dxa" w:w="100"/>
              <w:bottom w:type="dxa" w:w="60"/>
              <w:right w:type="dxa" w:w="100"/>
            </w:tcMar>
            <w:vAlign w:val="center"/>
          </w:tcPr>
          <w:p>
            <w:pPr>
              <w:spacing w:after="0" w:line="240"/>
              <w:jc w:val="left"/>
            </w:pPr>
            <w:r>
              <w:rPr>
                <w:rFonts w:ascii="Arial" w:cs="Arial" w:eastAsia="Arial" w:hAnsi="Arial"/>
                <w:b/>
                <w:bCs/>
                <w:sz w:val="18"/>
                <w:szCs w:val="18"/>
              </w:rPr>
              <w:t xml:space="preserve">Repositorio (URL)</w:t>
            </w:r>
          </w:p>
        </w:tc>
        <w:tc>
          <w:tcPr>
            <w:tcW w:type="dxa" w:w="7146"/>
            <w:tcMar>
              <w:top w:type="dxa" w:w="60"/>
              <w:left w:type="dxa" w:w="100"/>
              <w:bottom w:type="dxa" w:w="60"/>
              <w:right w:type="dxa" w:w="100"/>
            </w:tcMar>
            <w:vAlign w:val="center"/>
          </w:tcPr>
          <w:p>
            <w:r>
              <w:t>https://github.com/NisAnJIVO/MicroserviciosIV.git</w:t>
            </w:r>
          </w:p>
        </w:tc>
      </w:tr>
    </w:tbl>
    <w:p>
      <w:pPr>
        <w:spacing w:after="160"/>
      </w:pPr>
    </w:p>
    <w:tbl>
      <w:tblPr>
        <w:tblW w:type="dxa" w:w="9746"/>
        <w:tblBorders>
          <w:top w:val="single" w:color="1F8A7A" w:sz="4"/>
          <w:left w:val="single" w:color="1F8A7A" w:sz="18"/>
          <w:bottom w:val="single" w:color="1F8A7A" w:sz="4"/>
          <w:right w:val="single" w:color="1F8A7A" w:sz="4"/>
          <w:insideH w:val="single" w:color="auto" w:sz="4"/>
          <w:insideV w:val="single" w:color="auto" w:sz="4"/>
        </w:tblBorders>
      </w:tblPr>
      <w:tblGrid>
        <w:gridCol w:w="9746"/>
      </w:tblGrid>
      <w:tr>
        <w:tc>
          <w:tcPr>
            <w:tcW w:type="dxa" w:w="9746"/>
            <w:shd w:fill="F1F5F8" w:color="auto" w:val="clear"/>
            <w:tcMar>
              <w:top w:type="dxa" w:w="60"/>
              <w:left w:type="dxa" w:w="100"/>
              <w:bottom w:type="dxa" w:w="60"/>
              <w:right w:type="dxa" w:w="100"/>
            </w:tcMar>
            <w:vAlign w:val="center"/>
          </w:tcPr>
          <w:p>
            <w:pPr>
              <w:spacing w:after="80" w:line="250"/>
              <w:jc w:val="both"/>
            </w:pPr>
            <w:r>
              <w:rPr>
                <w:rFonts w:ascii="Arial" w:cs="Arial" w:eastAsia="Arial" w:hAnsi="Arial"/>
                <w:b/>
                <w:bCs/>
                <w:i w:val="false"/>
                <w:iCs w:val="false"/>
                <w:color w:val="1F8A7A"/>
                <w:sz w:val="20"/>
                <w:szCs w:val="20"/>
              </w:rPr>
              <w:t xml:space="preserve">Cómo se llena: </w:t>
            </w:r>
            <w:r>
              <w:rPr>
                <w:rFonts w:ascii="Arial" w:cs="Arial" w:eastAsia="Arial" w:hAnsi="Arial"/>
                <w:b w:val="false"/>
                <w:bCs w:val="false"/>
                <w:i w:val="false"/>
                <w:iCs w:val="false"/>
                <w:sz w:val="20"/>
                <w:szCs w:val="20"/>
              </w:rPr>
              <w:t xml:space="preserve">Este documento se completa mientras se ejecuta la Parte 1 del enunciado. Cada captura y cada pregunta lleva el mismo número aquí y allá.</w:t>
            </w:r>
          </w:p>
          <w:p>
            <w:pPr>
              <w:spacing w:after="80" w:line="250"/>
              <w:jc w:val="both"/>
            </w:pPr>
            <w:r>
              <w:rPr>
                <w:rFonts w:ascii="Arial" w:cs="Arial" w:eastAsia="Arial" w:hAnsi="Arial"/>
                <w:b w:val="false"/>
                <w:bCs w:val="false"/>
                <w:i w:val="false"/>
                <w:iCs w:val="false"/>
                <w:sz w:val="20"/>
                <w:szCs w:val="20"/>
              </w:rPr>
              <w:t xml:space="preserve">Las capturas deben ser de su propia máquina: debe verse el nombre de usuario o del equipo en la terminal. Recorte solo lo necesario, pero que el comando y su salida se lean con claridad.</w:t>
            </w:r>
          </w:p>
          <w:p>
            <w:pPr>
              <w:spacing w:after="0" w:line="250"/>
              <w:jc w:val="both"/>
            </w:pPr>
            <w:r>
              <w:rPr>
                <w:rFonts w:ascii="Arial" w:cs="Arial" w:eastAsia="Arial" w:hAnsi="Arial"/>
                <w:b w:val="false"/>
                <w:bCs w:val="false"/>
                <w:i w:val="false"/>
                <w:iCs w:val="false"/>
                <w:sz w:val="20"/>
                <w:szCs w:val="20"/>
              </w:rPr>
              <w:t xml:space="preserve">Al terminar, exporte este archivo a PDF y súbalo a la plataforma junto con el enlace del repositorio.</w:t>
            </w:r>
          </w:p>
        </w:tc>
      </w:tr>
    </w:tbl>
    <w:p>
      <w:pPr>
        <w:pBdr>
          <w:bottom w:val="single" w:color="D6DEE5" w:sz="6" w:space="3"/>
        </w:pBdr>
        <w:spacing w:after="120" w:before="300"/>
      </w:pPr>
      <w:r>
        <w:rPr>
          <w:rFonts w:ascii="Arial" w:cs="Arial" w:eastAsia="Arial" w:hAnsi="Arial"/>
          <w:b/>
          <w:bCs/>
          <w:color w:val="0F3D5C"/>
          <w:sz w:val="24"/>
          <w:szCs w:val="24"/>
        </w:rPr>
        <w:t xml:space="preserve">Control de avance</w:t>
      </w:r>
    </w:p>
    <w:p>
      <w:pPr>
        <w:spacing w:after="100" w:before="0" w:line="260"/>
        <w:jc w:val="both"/>
      </w:pPr>
      <w:r>
        <w:rPr>
          <w:rFonts w:ascii="Arial" w:cs="Arial" w:eastAsia="Arial" w:hAnsi="Arial"/>
          <w:b w:val="false"/>
          <w:bCs w:val="false"/>
          <w:i w:val="false"/>
          <w:iCs w:val="false"/>
          <w:sz w:val="20"/>
          <w:szCs w:val="20"/>
        </w:rPr>
        <w:t xml:space="preserve">Marque con una X a medida que complete cada laboratorio.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1500"/>
        <w:gridCol w:w="1546"/>
      </w:tblGrid>
      <w:tr>
        <w:trPr>
          <w:tblHeader/>
        </w:trPr>
        <w:tc>
          <w:tcPr>
            <w:tcW w:type="dxa" w:w="5200"/>
            <w:shd w:fill="E7EEF3" w:color="auto" w:val="clear"/>
            <w:tcMar>
              <w:top w:type="dxa" w:w="60"/>
              <w:left w:type="dxa" w:w="100"/>
              <w:bottom w:type="dxa" w:w="60"/>
              <w:right w:type="dxa" w:w="100"/>
            </w:tcMar>
            <w:vAlign w:val="center"/>
          </w:tcPr>
          <w:p>
            <w:pPr>
              <w:spacing w:after="0" w:line="240"/>
              <w:jc w:val="center"/>
            </w:pPr>
            <w:r>
              <w:rPr>
                <w:rFonts w:ascii="Arial" w:cs="Arial" w:eastAsia="Arial" w:hAnsi="Arial"/>
                <w:b/>
                <w:bCs/>
                <w:sz w:val="18"/>
                <w:szCs w:val="18"/>
              </w:rPr>
              <w:t xml:space="preserve">Laboratorio</w:t>
            </w:r>
          </w:p>
        </w:tc>
        <w:tc>
          <w:tcPr>
            <w:tcW w:type="dxa" w:w="1500"/>
            <w:shd w:fill="E7EEF3" w:color="auto" w:val="clear"/>
            <w:tcMar>
              <w:top w:type="dxa" w:w="60"/>
              <w:left w:type="dxa" w:w="100"/>
              <w:bottom w:type="dxa" w:w="60"/>
              <w:right w:type="dxa" w:w="100"/>
            </w:tcMar>
            <w:vAlign w:val="center"/>
          </w:tcPr>
          <w:p>
            <w:pPr>
              <w:spacing w:after="0" w:line="240"/>
              <w:jc w:val="center"/>
            </w:pPr>
            <w:r>
              <w:rPr>
                <w:rFonts w:ascii="Arial" w:cs="Arial" w:eastAsia="Arial" w:hAnsi="Arial"/>
                <w:b/>
                <w:bCs/>
                <w:sz w:val="18"/>
                <w:szCs w:val="18"/>
              </w:rPr>
              <w:t xml:space="preserve">Capturas</w:t>
            </w:r>
          </w:p>
        </w:tc>
        <w:tc>
          <w:tcPr>
            <w:tcW w:type="dxa" w:w="1500"/>
            <w:shd w:fill="E7EEF3" w:color="auto" w:val="clear"/>
            <w:tcMar>
              <w:top w:type="dxa" w:w="60"/>
              <w:left w:type="dxa" w:w="100"/>
              <w:bottom w:type="dxa" w:w="60"/>
              <w:right w:type="dxa" w:w="100"/>
            </w:tcMar>
            <w:vAlign w:val="center"/>
          </w:tcPr>
          <w:p>
            <w:pPr>
              <w:spacing w:after="0" w:line="240"/>
              <w:jc w:val="center"/>
            </w:pPr>
            <w:r>
              <w:rPr>
                <w:rFonts w:ascii="Arial" w:cs="Arial" w:eastAsia="Arial" w:hAnsi="Arial"/>
                <w:b/>
                <w:bCs/>
                <w:sz w:val="18"/>
                <w:szCs w:val="18"/>
              </w:rPr>
              <w:t xml:space="preserve">Preguntas</w:t>
            </w:r>
          </w:p>
        </w:tc>
        <w:tc>
          <w:tcPr>
            <w:tcW w:type="dxa" w:w="1546"/>
            <w:shd w:fill="E7EEF3" w:color="auto" w:val="clear"/>
            <w:tcMar>
              <w:top w:type="dxa" w:w="60"/>
              <w:left w:type="dxa" w:w="100"/>
              <w:bottom w:type="dxa" w:w="60"/>
              <w:right w:type="dxa" w:w="100"/>
            </w:tcMar>
            <w:vAlign w:val="center"/>
          </w:tcPr>
          <w:p>
            <w:pPr>
              <w:spacing w:after="0" w:line="240"/>
              <w:jc w:val="center"/>
            </w:pPr>
            <w:r>
              <w:rPr>
                <w:rFonts w:ascii="Arial" w:cs="Arial" w:eastAsia="Arial" w:hAnsi="Arial"/>
                <w:b/>
                <w:bCs/>
                <w:sz w:val="18"/>
                <w:szCs w:val="18"/>
              </w:rPr>
              <w:t xml:space="preserve">Completado</w:t>
            </w:r>
          </w:p>
        </w:tc>
      </w:tr>
      <w:tr>
        <w:tc>
          <w:tcPr>
            <w:tcW w:type="dxa" w:w="5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Laboratorio 0 — El broker en marcha y su consola de administración</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1, 2, 3</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1</w:t>
            </w:r>
          </w:p>
        </w:tc>
        <w:tc>
          <w:tcPr>
            <w:tcW w:type="dxa" w:w="1546"/>
            <w:tcMar>
              <w:top w:type="dxa" w:w="60"/>
              <w:left w:type="dxa" w:w="100"/>
              <w:bottom w:type="dxa" w:w="60"/>
              <w:right w:type="dxa" w:w="100"/>
            </w:tcMar>
            <w:vAlign w:val="center"/>
          </w:tcPr>
          <w:p>
            <w:r>
              <w:t>X</w:t>
            </w:r>
          </w:p>
        </w:tc>
      </w:tr>
      <w:tr>
        <w:tc>
          <w:tcPr>
            <w:tcW w:type="dxa" w:w="5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Laboratorio 1 — Anatomía del enrutamiento: exchange, cola y binding</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4, 5, 6</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2</w:t>
            </w:r>
          </w:p>
        </w:tc>
        <w:tc>
          <w:tcPr>
            <w:tcW w:type="dxa" w:w="1546"/>
            <w:tcMar>
              <w:top w:type="dxa" w:w="60"/>
              <w:left w:type="dxa" w:w="100"/>
              <w:bottom w:type="dxa" w:w="60"/>
              <w:right w:type="dxa" w:w="100"/>
            </w:tcMar>
            <w:vAlign w:val="center"/>
          </w:tcPr>
          <w:p>
            <w:r>
              <w:t>X</w:t>
            </w:r>
          </w:p>
        </w:tc>
      </w:tr>
      <w:tr>
        <w:tc>
          <w:tcPr>
            <w:tcW w:type="dxa" w:w="5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Laboratorio 2 — El productor: publicar un evento cuando la operación se confirma</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7, 8</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3</w:t>
            </w:r>
          </w:p>
        </w:tc>
        <w:tc>
          <w:tcPr>
            <w:tcW w:type="dxa" w:w="1546"/>
            <w:tcMar>
              <w:top w:type="dxa" w:w="60"/>
              <w:left w:type="dxa" w:w="100"/>
              <w:bottom w:type="dxa" w:w="60"/>
              <w:right w:type="dxa" w:w="100"/>
            </w:tcMar>
            <w:vAlign w:val="center"/>
          </w:tcPr>
          <w:p>
            <w:r>
              <w:t>X</w:t>
            </w:r>
          </w:p>
        </w:tc>
      </w:tr>
      <w:tr>
        <w:tc>
          <w:tcPr>
            <w:tcW w:type="dxa" w:w="5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Laboratorio 3 — El consumidor y la demostración del desacoplamiento</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9, 10, 11</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4</w:t>
            </w:r>
          </w:p>
        </w:tc>
        <w:tc>
          <w:tcPr>
            <w:tcW w:type="dxa" w:w="1546"/>
            <w:tcMar>
              <w:top w:type="dxa" w:w="60"/>
              <w:left w:type="dxa" w:w="100"/>
              <w:bottom w:type="dxa" w:w="60"/>
              <w:right w:type="dxa" w:w="100"/>
            </w:tcMar>
            <w:vAlign w:val="center"/>
          </w:tcPr>
          <w:p>
            <w:r>
              <w:t>X</w:t>
            </w:r>
          </w:p>
        </w:tc>
      </w:tr>
      <w:tr>
        <w:tc>
          <w:tcPr>
            <w:tcW w:type="dxa" w:w="5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Laboratorio 4 — Exchange directo frente a exchange temático</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12, 13</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5</w:t>
            </w:r>
          </w:p>
        </w:tc>
        <w:tc>
          <w:tcPr>
            <w:tcW w:type="dxa" w:w="1546"/>
            <w:tcMar>
              <w:top w:type="dxa" w:w="60"/>
              <w:left w:type="dxa" w:w="100"/>
              <w:bottom w:type="dxa" w:w="60"/>
              <w:right w:type="dxa" w:w="100"/>
            </w:tcMar>
            <w:vAlign w:val="center"/>
          </w:tcPr>
          <w:p>
            <w:r>
              <w:t>X</w:t>
            </w:r>
          </w:p>
        </w:tc>
      </w:tr>
      <w:tr>
        <w:tc>
          <w:tcPr>
            <w:tcW w:type="dxa" w:w="5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Laboratorio 5 — Confirmaciones y durabilidad: qué se pierde y qué se salva</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14, 15, 16</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6</w:t>
            </w:r>
          </w:p>
        </w:tc>
        <w:tc>
          <w:tcPr>
            <w:tcW w:type="dxa" w:w="1546"/>
            <w:tcMar>
              <w:top w:type="dxa" w:w="60"/>
              <w:left w:type="dxa" w:w="100"/>
              <w:bottom w:type="dxa" w:w="60"/>
              <w:right w:type="dxa" w:w="100"/>
            </w:tcMar>
            <w:vAlign w:val="center"/>
          </w:tcPr>
          <w:p>
            <w:r>
              <w:t>X</w:t>
            </w:r>
          </w:p>
        </w:tc>
      </w:tr>
      <w:tr>
        <w:tc>
          <w:tcPr>
            <w:tcW w:type="dxa" w:w="5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Laboratorio 6 — Reintentos limitados y cola de mensajes muertos</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17, 18</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7</w:t>
            </w:r>
          </w:p>
        </w:tc>
        <w:tc>
          <w:tcPr>
            <w:tcW w:type="dxa" w:w="1546"/>
            <w:tcMar>
              <w:top w:type="dxa" w:w="60"/>
              <w:left w:type="dxa" w:w="100"/>
              <w:bottom w:type="dxa" w:w="60"/>
              <w:right w:type="dxa" w:w="100"/>
            </w:tcMar>
            <w:vAlign w:val="center"/>
          </w:tcPr>
          <w:p>
            <w:r>
              <w:t>X</w:t>
            </w:r>
          </w:p>
        </w:tc>
      </w:tr>
      <w:tr>
        <w:tc>
          <w:tcPr>
            <w:tcW w:type="dxa" w:w="52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Laboratorio 7 — Idempotencia: el mismo evento dos veces sin doble efecto</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19, 20</w:t>
            </w:r>
          </w:p>
        </w:tc>
        <w:tc>
          <w:tcPr>
            <w:tcW w:type="dxa" w:w="1500"/>
            <w:tcMar>
              <w:top w:type="dxa" w:w="60"/>
              <w:left w:type="dxa" w:w="100"/>
              <w:bottom w:type="dxa" w:w="60"/>
              <w:right w:type="dxa" w:w="100"/>
            </w:tcMar>
            <w:vAlign w:val="center"/>
          </w:tcPr>
          <w:p>
            <w:pPr>
              <w:spacing w:after="0" w:line="240"/>
              <w:jc w:val="left"/>
            </w:pPr>
            <w:r>
              <w:rPr>
                <w:rFonts w:ascii="Arial" w:cs="Arial" w:eastAsia="Arial" w:hAnsi="Arial"/>
                <w:b w:val="false"/>
                <w:bCs w:val="false"/>
                <w:sz w:val="18"/>
                <w:szCs w:val="18"/>
              </w:rPr>
              <w:t xml:space="preserve">8</w:t>
            </w:r>
          </w:p>
        </w:tc>
        <w:tc>
          <w:tcPr>
            <w:tcW w:type="dxa" w:w="1546"/>
            <w:tcMar>
              <w:top w:type="dxa" w:w="60"/>
              <w:left w:type="dxa" w:w="100"/>
              <w:bottom w:type="dxa" w:w="60"/>
              <w:right w:type="dxa" w:w="100"/>
            </w:tcMar>
            <w:vAlign w:val="center"/>
          </w:tcPr>
          <w:p>
            <w:r>
              <w:t>X</w:t>
            </w:r>
          </w:p>
        </w:tc>
      </w:tr>
    </w:tbl>
    <w:p>
      <w:pPr>
        <w:pBdr>
          <w:top w:val="single" w:color="1F8A7A" w:sz="12" w:space="6"/>
          <w:bottom w:val="single" w:color="1F8A7A" w:sz="12" w:space="6"/>
        </w:pBdr>
        <w:spacing w:after="140" w:before="300"/>
        <w:jc w:val="center"/>
      </w:pPr>
      <w:r>
        <w:rPr>
          <w:rFonts w:ascii="Arial" w:cs="Arial" w:eastAsia="Arial" w:hAnsi="Arial"/>
          <w:b/>
          <w:bCs/>
          <w:i w:val="false"/>
          <w:iCs w:val="false"/>
          <w:color w:val="1F8A7A"/>
          <w:sz w:val="24"/>
          <w:szCs w:val="24"/>
        </w:rPr>
        <w:t xml:space="preserve">PARTE 1 — EVIDENCIAS DE LOS LABORATORIOS</w:t>
      </w:r>
    </w:p>
    <w:p>
      <w:pPr>
        <w:pBdr>
          <w:bottom w:val="single" w:color="D6DEE5" w:sz="6" w:space="3"/>
        </w:pBdr>
        <w:spacing w:after="120" w:before="300"/>
      </w:pPr>
      <w:r>
        <w:rPr>
          <w:rFonts w:ascii="Arial" w:cs="Arial" w:eastAsia="Arial" w:hAnsi="Arial"/>
          <w:b/>
          <w:bCs/>
          <w:color w:val="0F3D5C"/>
          <w:sz w:val="24"/>
          <w:szCs w:val="24"/>
        </w:rPr>
        <w:t xml:space="preserve">Laboratorio 0 — El broker en marcha y su consola de administración</w:t>
      </w:r>
    </w:p>
    <w:p>
      <w:pPr>
        <w:spacing w:after="80" w:before="0" w:line="260"/>
        <w:jc w:val="both"/>
      </w:pPr>
      <w:r>
        <w:rPr>
          <w:rFonts w:ascii="Arial" w:cs="Arial" w:eastAsia="Arial" w:hAnsi="Arial"/>
          <w:b/>
          <w:bCs/>
          <w:i w:val="false"/>
          <w:iCs w:val="false"/>
          <w:color w:val="1F8A7A"/>
          <w:sz w:val="20"/>
          <w:szCs w:val="20"/>
        </w:rPr>
        <w:t xml:space="preserve">Captura N.º 1: </w:t>
      </w:r>
      <w:r>
        <w:rPr>
          <w:rFonts w:ascii="Arial" w:cs="Arial" w:eastAsia="Arial" w:hAnsi="Arial"/>
          <w:b w:val="false"/>
          <w:bCs w:val="false"/>
          <w:i w:val="false"/>
          <w:iCs w:val="false"/>
          <w:sz w:val="20"/>
          <w:szCs w:val="20"/>
        </w:rPr>
        <w:t xml:space="preserve">salida de los cinco comandos anteriores en su terminal.</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2: </w:t>
      </w:r>
      <w:r>
        <w:rPr>
          <w:rFonts w:ascii="Arial" w:cs="Arial" w:eastAsia="Arial" w:hAnsi="Arial"/>
          <w:b w:val="false"/>
          <w:bCs w:val="false"/>
          <w:i w:val="false"/>
          <w:iCs w:val="false"/>
          <w:sz w:val="20"/>
          <w:szCs w:val="20"/>
        </w:rPr>
        <w:t xml:space="preserve">salida de docker compose ps con el contenedor com600-rabbit en estado running y las últimas líneas del registro con «Server startup complete».</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3: </w:t>
      </w:r>
      <w:r>
        <w:rPr>
          <w:rFonts w:ascii="Arial" w:cs="Arial" w:eastAsia="Arial" w:hAnsi="Arial"/>
          <w:b w:val="false"/>
          <w:bCs w:val="false"/>
          <w:i w:val="false"/>
          <w:iCs w:val="false"/>
          <w:sz w:val="20"/>
          <w:szCs w:val="20"/>
        </w:rPr>
        <w:t xml:space="preserve">consola de administración de RabbitMQ abierta en la pestaña Overview, con el nombre del nodo rabbit-uno visible.</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0F3D5C"/>
          <w:sz w:val="20"/>
          <w:szCs w:val="20"/>
        </w:rPr>
        <w:t xml:space="preserve">Pregunta N.º 1. </w:t>
      </w:r>
      <w:r>
        <w:rPr>
          <w:rFonts w:ascii="Arial" w:cs="Arial" w:eastAsia="Arial" w:hAnsi="Arial"/>
          <w:b/>
          <w:bCs/>
          <w:i w:val="false"/>
          <w:iCs w:val="false"/>
          <w:sz w:val="20"/>
          <w:szCs w:val="20"/>
        </w:rPr>
        <w:t xml:space="preserve">En las prácticas 3, 4 y 5 el cliente hablaba directamente con el servicio y esperaba la respuesta. Aquí aparece un tercer proceso en el medio. ¿Qué gana el sistema al introducirlo y qué problema nuevo se crea con él?</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1400" w:hRule="atLeast"/>
        </w:trPr>
        <w:tc>
          <w:tcPr>
            <w:tcW w:type="dxa" w:w="9746"/>
            <w:tcMar>
              <w:top w:type="dxa" w:w="60"/>
              <w:left w:type="dxa" w:w="100"/>
              <w:bottom w:type="dxa" w:w="60"/>
              <w:right w:type="dxa" w:w="100"/>
            </w:tcMar>
            <w:vAlign w:val="center"/>
          </w:tcPr>
          <w:p>
            <w:r>
              <w:t>• ¿Qué gana el sistema al introducir el broker (RabbitMQ)?</w:t>
              <w:br/>
              <w:t xml:space="preserve">  1. Desacoplamiento temporal y espacial: El emisor (productor) no necesita conocer la ubicación física, dirección IP ni el estado de disponibilidad del receptor (consumidor), ni requiere que ambos estén activos simultáneamente para procesar una operación.</w:t>
              <w:br/>
              <w:t xml:space="preserve">  2. Amortiguación y nivelación de carga (Load Leveling / Buffering): Ante picos masivos de peticiones, los mensajes se acumulan en colas durables, permitiendo a los servicios consumidores procesar a un ritmo constante sin colapsar la infraestructura.</w:t>
              <w:br/>
              <w:t xml:space="preserve">  3. Resiliencia y latencia mínima percibida: El productor concluye transacciones de cara al usuario en milisegundos sin quedar bloqueado ni heredar la latencia o fallos de servicios dependientes secundarios.</w:t>
              <w:br/>
              <w:br/>
              <w:t>• ¿Qué problema nuevo se crea con él?</w:t>
              <w:br/>
              <w:t xml:space="preserve">  1. Complejidad operativa y punto único de fallo (SPOF): Se introduce una pieza central de infraestructura que debe administrarse, monitorearse, respaldarse y configurarse en clúster para garantizar alta disponibilidad.</w:t>
              <w:br/>
              <w:t xml:space="preserve">  2. Pérdida de inmediatez y consistencia eventual: Se abandona la consistencia inmediata (ACID) por consistencia eventual. Si un procesamiento asíncrono posterior falla definitivamente, el sistema requiere mecanismos de compensación complejos (patrón Saga, DLQ o intervención manual) en lugar de una respuesta síncrona simple de error.</w:t>
            </w:r>
          </w:p>
        </w:tc>
      </w:tr>
    </w:tbl>
    <w:p>
      <w:pPr>
        <w:spacing w:after="160"/>
      </w:pPr>
    </w:p>
    <w:p>
      <w:pPr>
        <w:pBdr>
          <w:bottom w:val="single" w:color="D6DEE5" w:sz="6" w:space="3"/>
        </w:pBdr>
        <w:spacing w:after="120" w:before="300"/>
      </w:pPr>
      <w:r>
        <w:rPr>
          <w:rFonts w:ascii="Arial" w:cs="Arial" w:eastAsia="Arial" w:hAnsi="Arial"/>
          <w:b/>
          <w:bCs/>
          <w:color w:val="0F3D5C"/>
          <w:sz w:val="24"/>
          <w:szCs w:val="24"/>
        </w:rPr>
        <w:t xml:space="preserve">Laboratorio 1 — Anatomía del enrutamiento: exchange, cola y binding</w:t>
      </w:r>
    </w:p>
    <w:p>
      <w:pPr>
        <w:spacing w:after="80" w:before="0" w:line="260"/>
        <w:jc w:val="both"/>
      </w:pPr>
      <w:r>
        <w:rPr>
          <w:rFonts w:ascii="Arial" w:cs="Arial" w:eastAsia="Arial" w:hAnsi="Arial"/>
          <w:b/>
          <w:bCs/>
          <w:i w:val="false"/>
          <w:iCs w:val="false"/>
          <w:color w:val="1F8A7A"/>
          <w:sz w:val="20"/>
          <w:szCs w:val="20"/>
        </w:rPr>
        <w:t xml:space="preserve">Captura N.º 4: </w:t>
      </w:r>
      <w:r>
        <w:rPr>
          <w:rFonts w:ascii="Arial" w:cs="Arial" w:eastAsia="Arial" w:hAnsi="Arial"/>
          <w:b w:val="false"/>
          <w:bCs w:val="false"/>
          <w:i w:val="false"/>
          <w:iCs w:val="false"/>
          <w:sz w:val="20"/>
          <w:szCs w:val="20"/>
        </w:rPr>
        <w:t xml:space="preserve">lista de exchanges de la consola con el exchange inscripciones recién creado, mostrando su tipo direct y la marca D de durable.</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5: </w:t>
      </w:r>
      <w:r>
        <w:rPr>
          <w:rFonts w:ascii="Arial" w:cs="Arial" w:eastAsia="Arial" w:hAnsi="Arial"/>
          <w:b w:val="false"/>
          <w:bCs w:val="false"/>
          <w:i w:val="false"/>
          <w:iCs w:val="false"/>
          <w:sz w:val="20"/>
          <w:szCs w:val="20"/>
        </w:rPr>
        <w:t xml:space="preserve">página del exchange inscripciones mostrando el binding hacia la cola notificaciones.correo con la clave inscripcion.confirmada.</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6: </w:t>
      </w:r>
      <w:r>
        <w:rPr>
          <w:rFonts w:ascii="Arial" w:cs="Arial" w:eastAsia="Arial" w:hAnsi="Arial"/>
          <w:b w:val="false"/>
          <w:bCs w:val="false"/>
          <w:i w:val="false"/>
          <w:iCs w:val="false"/>
          <w:sz w:val="20"/>
          <w:szCs w:val="20"/>
        </w:rPr>
        <w:t xml:space="preserve">ventana Get messages mostrando el contenido del mensaje recuperado, con su clave de enrutamiento y sus propiedades.</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0F3D5C"/>
          <w:sz w:val="20"/>
          <w:szCs w:val="20"/>
        </w:rPr>
        <w:t xml:space="preserve">Pregunta N.º 2. </w:t>
      </w:r>
      <w:r>
        <w:rPr>
          <w:rFonts w:ascii="Arial" w:cs="Arial" w:eastAsia="Arial" w:hAnsi="Arial"/>
          <w:b/>
          <w:bCs/>
          <w:i w:val="false"/>
          <w:iCs w:val="false"/>
          <w:sz w:val="20"/>
          <w:szCs w:val="20"/>
        </w:rPr>
        <w:t xml:space="preserve">El productor publica en el exchange y nunca nombra a la cola. Si mañana el área de finanzas también necesita enterarse de cada inscripción confirmada, ¿qué hay que modificar en el productor? Justifique su respuesta con lo que acaba de hacer a mano.</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1400" w:hRule="atLeast"/>
        </w:trPr>
        <w:tc>
          <w:tcPr>
            <w:tcW w:type="dxa" w:w="9746"/>
            <w:tcMar>
              <w:top w:type="dxa" w:w="60"/>
              <w:left w:type="dxa" w:w="100"/>
              <w:bottom w:type="dxa" w:w="60"/>
              <w:right w:type="dxa" w:w="100"/>
            </w:tcMar>
            <w:vAlign w:val="center"/>
          </w:tcPr>
          <w:p>
            <w:r>
              <w:t>• ¿Qué hay que modificar en el productor si el área de finanzas también necesita enterarse?</w:t>
              <w:br/>
              <w:t xml:space="preserve">  Absolutamente NADA en el código ni en la configuración del microservicio productor.</w:t>
              <w:br/>
              <w:br/>
              <w:t>• Justificación basada en la experiencia práctica:</w:t>
              <w:br/>
              <w:t xml:space="preserve">  En el modelo AMQP, el productor está completamente desacoplado de las colas receptoras; su única responsabilidad es publicar el evento en el exchange ('inscripciones') con una clave de enrutamiento ('inscripcion.confirmada'). El enrutamiento es competencia exclusiva del broker. Para integrar al área de finanzas, solo se necesita crear una nueva cola (por ejemplo, 'finanzas.cobros') y declararle un binding hacia el exchange 'inscripciones' con la misma clave 'inscripcion.confirmada'. El exchange copiará de manera transparente y automática cada mensaje entrante tanto a 'notificaciones.correo' como a la cola de finanzas, cumpliendo el principio Open/Closed sin tocar una sola línea del productor.</w:t>
            </w:r>
          </w:p>
        </w:tc>
      </w:tr>
    </w:tbl>
    <w:p>
      <w:pPr>
        <w:spacing w:after="160"/>
      </w:pPr>
    </w:p>
    <w:p>
      <w:pPr>
        <w:pBdr>
          <w:bottom w:val="single" w:color="D6DEE5" w:sz="6" w:space="3"/>
        </w:pBdr>
        <w:spacing w:after="120" w:before="300"/>
      </w:pPr>
      <w:r>
        <w:rPr>
          <w:rFonts w:ascii="Arial" w:cs="Arial" w:eastAsia="Arial" w:hAnsi="Arial"/>
          <w:b/>
          <w:bCs/>
          <w:color w:val="0F3D5C"/>
          <w:sz w:val="24"/>
          <w:szCs w:val="24"/>
        </w:rPr>
        <w:t xml:space="preserve">Laboratorio 2 — El productor: publicar un evento cuando la operación se confirma</w:t>
      </w:r>
    </w:p>
    <w:p>
      <w:pPr>
        <w:spacing w:after="80" w:before="0" w:line="260"/>
        <w:jc w:val="both"/>
      </w:pPr>
      <w:r>
        <w:rPr>
          <w:rFonts w:ascii="Arial" w:cs="Arial" w:eastAsia="Arial" w:hAnsi="Arial"/>
          <w:b/>
          <w:bCs/>
          <w:i w:val="false"/>
          <w:iCs w:val="false"/>
          <w:color w:val="1F8A7A"/>
          <w:sz w:val="20"/>
          <w:szCs w:val="20"/>
        </w:rPr>
        <w:t xml:space="preserve">Captura N.º 7: </w:t>
      </w:r>
      <w:r>
        <w:rPr>
          <w:rFonts w:ascii="Arial" w:cs="Arial" w:eastAsia="Arial" w:hAnsi="Arial"/>
          <w:b w:val="false"/>
          <w:bCs w:val="false"/>
          <w:i w:val="false"/>
          <w:iCs w:val="false"/>
          <w:sz w:val="20"/>
          <w:szCs w:val="20"/>
        </w:rPr>
        <w:t xml:space="preserve">las dos terminales: el productor conectado al broker y la respuesta 201 con el registro devuelto por curl.</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8: </w:t>
      </w:r>
      <w:r>
        <w:rPr>
          <w:rFonts w:ascii="Arial" w:cs="Arial" w:eastAsia="Arial" w:hAnsi="Arial"/>
          <w:b w:val="false"/>
          <w:bCs w:val="false"/>
          <w:i w:val="false"/>
          <w:iCs w:val="false"/>
          <w:sz w:val="20"/>
          <w:szCs w:val="20"/>
        </w:rPr>
        <w:t xml:space="preserve">consola de administración mostrando la cola notificaciones.correo con un mensaje en la columna Ready y ningún consumidor.</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0F3D5C"/>
          <w:sz w:val="20"/>
          <w:szCs w:val="20"/>
        </w:rPr>
        <w:t xml:space="preserve">Pregunta N.º 3. </w:t>
      </w:r>
      <w:r>
        <w:rPr>
          <w:rFonts w:ascii="Arial" w:cs="Arial" w:eastAsia="Arial" w:hAnsi="Arial"/>
          <w:b/>
          <w:bCs/>
          <w:i w:val="false"/>
          <w:iCs w:val="false"/>
          <w:sz w:val="20"/>
          <w:szCs w:val="20"/>
        </w:rPr>
        <w:t xml:space="preserve">La API respondió 201 aunque nadie haya enviado todavía el correo de bienvenida. ¿De qué trabajo se liberó el servicio de Inscripciones y qué promesa está haciendo a cambio al estudiante que se inscribió?</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1400" w:hRule="atLeast"/>
        </w:trPr>
        <w:tc>
          <w:tcPr>
            <w:tcW w:type="dxa" w:w="9746"/>
            <w:tcMar>
              <w:top w:type="dxa" w:w="60"/>
              <w:left w:type="dxa" w:w="100"/>
              <w:bottom w:type="dxa" w:w="60"/>
              <w:right w:type="dxa" w:w="100"/>
            </w:tcMar>
            <w:vAlign w:val="center"/>
          </w:tcPr>
          <w:p>
            <w:r>
              <w:t>• ¿De qué trabajo se liberó el servicio de Inscripciones?</w:t>
              <w:br/>
              <w:t xml:space="preserve">  Se liberó de las operaciones accesorias de entrada/salida (I/O) que no forman parte del núcleo transaccional inmediato: establecer conexiones síncronas con servidores SMTP o APIs externas de correo, lidiar con reintentos de red, gestionar timeouts y retener la conexión HTTP del estudiante en espera durante segundos innecesarios.</w:t>
              <w:br/>
              <w:br/>
              <w:t>• ¿Qué promesa está haciendo a cambio al estudiante que se inscribió?</w:t>
              <w:br/>
              <w:t xml:space="preserve">  Le garantiza una doble promesa:</w:t>
              <w:br/>
              <w:t xml:space="preserve">  1. Certeza transaccional inmediata: Su inscripción quedó confirmada, registrada con identificador único y cupo reservado de manera persistente en el sistema.</w:t>
              <w:br/>
              <w:t xml:space="preserve">  2. Garantía de entrega eventual: El correo de bienvenida o comprobante formal le llegará en un instante posterior tan pronto el servicio de notificaciones procese la cola, garantizando que el mensaje no se perderá aunque el consumidor se encuentre temporalmente inactivo o congestionado.</w:t>
            </w:r>
          </w:p>
        </w:tc>
      </w:tr>
    </w:tbl>
    <w:p>
      <w:pPr>
        <w:spacing w:after="160"/>
      </w:pPr>
    </w:p>
    <w:p>
      <w:pPr>
        <w:pBdr>
          <w:bottom w:val="single" w:color="D6DEE5" w:sz="6" w:space="3"/>
        </w:pBdr>
        <w:spacing w:after="120" w:before="300"/>
      </w:pPr>
      <w:r>
        <w:rPr>
          <w:rFonts w:ascii="Arial" w:cs="Arial" w:eastAsia="Arial" w:hAnsi="Arial"/>
          <w:b/>
          <w:bCs/>
          <w:color w:val="0F3D5C"/>
          <w:sz w:val="24"/>
          <w:szCs w:val="24"/>
        </w:rPr>
        <w:t xml:space="preserve">Laboratorio 3 — El consumidor y la demostración del desacoplamiento</w:t>
      </w:r>
    </w:p>
    <w:p>
      <w:pPr>
        <w:spacing w:after="80" w:before="0" w:line="260"/>
        <w:jc w:val="both"/>
      </w:pPr>
      <w:r>
        <w:rPr>
          <w:rFonts w:ascii="Arial" w:cs="Arial" w:eastAsia="Arial" w:hAnsi="Arial"/>
          <w:b/>
          <w:bCs/>
          <w:i w:val="false"/>
          <w:iCs w:val="false"/>
          <w:color w:val="1F8A7A"/>
          <w:sz w:val="20"/>
          <w:szCs w:val="20"/>
        </w:rPr>
        <w:t xml:space="preserve">Captura N.º 9: </w:t>
      </w:r>
      <w:r>
        <w:rPr>
          <w:rFonts w:ascii="Arial" w:cs="Arial" w:eastAsia="Arial" w:hAnsi="Arial"/>
          <w:b w:val="false"/>
          <w:bCs w:val="false"/>
          <w:i w:val="false"/>
          <w:iCs w:val="false"/>
          <w:sz w:val="20"/>
          <w:szCs w:val="20"/>
        </w:rPr>
        <w:t xml:space="preserve">terminal del consumidor procesando los eventos, con el registro de cada correo enviado y su identificador de inscripción.</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10: </w:t>
      </w:r>
      <w:r>
        <w:rPr>
          <w:rFonts w:ascii="Arial" w:cs="Arial" w:eastAsia="Arial" w:hAnsi="Arial"/>
          <w:b w:val="false"/>
          <w:bCs w:val="false"/>
          <w:i w:val="false"/>
          <w:iCs w:val="false"/>
          <w:sz w:val="20"/>
          <w:szCs w:val="20"/>
        </w:rPr>
        <w:t xml:space="preserve">consola de administración con la cola notificaciones.correo mostrando 5 mensajes en Ready, cero consumidores, y el gráfico de la cola creciendo.</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0F3D5C"/>
          <w:sz w:val="20"/>
          <w:szCs w:val="20"/>
        </w:rPr>
        <w:t xml:space="preserve">Pregunta N.º 4. </w:t>
      </w:r>
      <w:r>
        <w:rPr>
          <w:rFonts w:ascii="Arial" w:cs="Arial" w:eastAsia="Arial" w:hAnsi="Arial"/>
          <w:b/>
          <w:bCs/>
          <w:i w:val="false"/>
          <w:iCs w:val="false"/>
          <w:sz w:val="20"/>
          <w:szCs w:val="20"/>
        </w:rPr>
        <w:t xml:space="preserve">Con REST, si el servicio de Notificaciones estaba caído, la inscripción fallaba o se quedaba esperando. Aquí no falló nada. ¿Dónde está en este momento el trabajo pendiente, qué recurso está consumiendo mientras espera y qué ocurriría si el consumidor no volviera nunca?</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1400" w:hRule="atLeast"/>
        </w:trPr>
        <w:tc>
          <w:tcPr>
            <w:tcW w:type="dxa" w:w="9746"/>
            <w:tcMar>
              <w:top w:type="dxa" w:w="60"/>
              <w:left w:type="dxa" w:w="100"/>
              <w:bottom w:type="dxa" w:w="60"/>
              <w:right w:type="dxa" w:w="100"/>
            </w:tcMar>
            <w:vAlign w:val="center"/>
          </w:tcPr>
          <w:p>
            <w:r>
              <w:t>• ¿Dónde está en este momento el trabajo pendiente?</w:t>
              <w:br/>
              <w:t xml:space="preserve">  El trabajo pendiente se encuentra resguardado en el broker RabbitMQ, almacenado en el búfer de la cola durable 'notificaciones.correo' en estado 'Ready' (listo para ser consumido).</w:t>
              <w:br/>
              <w:br/>
              <w:t>• ¿Qué recursos está consumiendo mientras espera?</w:t>
              <w:br/>
              <w:t xml:space="preserve">  1. Memoria RAM: RabbitMQ mantiene los mensajes en memoria principal para entrega de ultra baja latencia.</w:t>
              <w:br/>
              <w:t xml:space="preserve">  2. Almacenamiento en disco (Paging / Disk I/O): Al haber sido publicados con 'persistent: true' (o al superar el umbral de paginación de memoria), RabbitMQ los escribe en disco en su base de datos interna (/var/lib/rabbitmq).</w:t>
              <w:br/>
              <w:t xml:space="preserve">  3. Estructuras de metadatos: Punteros de índice y descriptores de archivo dentro del runtime Erlang del broker.</w:t>
              <w:br/>
              <w:br/>
              <w:t>• ¿Qué ocurriría si el consumidor no volviera nunca?</w:t>
              <w:br/>
              <w:t xml:space="preserve">  La cola continuaría acumulando mensajes indefinidamente con cada nueva inscripción. Al aproximarse a los límites configurados (vm_memory_high_watermark o disco lleno), RabbitMQ entraría en estado de alarma de flujo (flow control), bloqueando las conexiones entrantes de todos los productores para evitar la caída del nodo. Eventualmente, se saturaría el disco duro ocasionando una denegación de servicio (DoS) global si no se tienen políticas de caducidad (TTL) o límites máximos de cola (max-length).</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11: </w:t>
      </w:r>
      <w:r>
        <w:rPr>
          <w:rFonts w:ascii="Arial" w:cs="Arial" w:eastAsia="Arial" w:hAnsi="Arial"/>
          <w:b w:val="false"/>
          <w:bCs w:val="false"/>
          <w:i w:val="false"/>
          <w:iCs w:val="false"/>
          <w:sz w:val="20"/>
          <w:szCs w:val="20"/>
        </w:rPr>
        <w:t xml:space="preserve">la terminal del consumidor procesando los cinco mensajes acumulados y la cola de la consola bajando a cero en el gráfico.</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pBdr>
          <w:bottom w:val="single" w:color="D6DEE5" w:sz="6" w:space="3"/>
        </w:pBdr>
        <w:spacing w:after="120" w:before="300"/>
      </w:pPr>
      <w:r>
        <w:rPr>
          <w:rFonts w:ascii="Arial" w:cs="Arial" w:eastAsia="Arial" w:hAnsi="Arial"/>
          <w:b/>
          <w:bCs/>
          <w:color w:val="0F3D5C"/>
          <w:sz w:val="24"/>
          <w:szCs w:val="24"/>
        </w:rPr>
        <w:t xml:space="preserve">Laboratorio 4 — Exchange directo frente a exchange temático</w:t>
      </w:r>
    </w:p>
    <w:p>
      <w:pPr>
        <w:spacing w:after="80" w:before="0" w:line="260"/>
        <w:jc w:val="both"/>
      </w:pPr>
      <w:r>
        <w:rPr>
          <w:rFonts w:ascii="Arial" w:cs="Arial" w:eastAsia="Arial" w:hAnsi="Arial"/>
          <w:b/>
          <w:bCs/>
          <w:i w:val="false"/>
          <w:iCs w:val="false"/>
          <w:color w:val="1F8A7A"/>
          <w:sz w:val="20"/>
          <w:szCs w:val="20"/>
        </w:rPr>
        <w:t xml:space="preserve">Captura N.º 12: </w:t>
      </w:r>
      <w:r>
        <w:rPr>
          <w:rFonts w:ascii="Arial" w:cs="Arial" w:eastAsia="Arial" w:hAnsi="Arial"/>
          <w:b w:val="false"/>
          <w:bCs w:val="false"/>
          <w:i w:val="false"/>
          <w:iCs w:val="false"/>
          <w:sz w:val="20"/>
          <w:szCs w:val="20"/>
        </w:rPr>
        <w:t xml:space="preserve">página del exchange eventos.academicos en la consola, mostrando sus tres bindings con los patrones inscripcion.*, pago.* y #.</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13: </w:t>
      </w:r>
      <w:r>
        <w:rPr>
          <w:rFonts w:ascii="Arial" w:cs="Arial" w:eastAsia="Arial" w:hAnsi="Arial"/>
          <w:b w:val="false"/>
          <w:bCs w:val="false"/>
          <w:i w:val="false"/>
          <w:iCs w:val="false"/>
          <w:sz w:val="20"/>
          <w:szCs w:val="20"/>
        </w:rPr>
        <w:t xml:space="preserve">lista de colas de la consola con los contadores de correo.bienvenida, finanzas.cobros y auditoria.todo después de publicar las cuatro claves.</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0F3D5C"/>
          <w:sz w:val="20"/>
          <w:szCs w:val="20"/>
        </w:rPr>
        <w:t xml:space="preserve">Pregunta N.º 5. </w:t>
      </w:r>
      <w:r>
        <w:rPr>
          <w:rFonts w:ascii="Arial" w:cs="Arial" w:eastAsia="Arial" w:hAnsi="Arial"/>
          <w:b/>
          <w:bCs/>
          <w:i w:val="false"/>
          <w:iCs w:val="false"/>
          <w:sz w:val="20"/>
          <w:szCs w:val="20"/>
        </w:rPr>
        <w:t xml:space="preserve">La clave certificado.emitido llegó solo a una de las tres colas. Explique por qué, y diga qué diferencia hay entre el comodín * y el comodín # con un ejemplo propio de su proyecto integrador.</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1400" w:hRule="atLeast"/>
        </w:trPr>
        <w:tc>
          <w:tcPr>
            <w:tcW w:type="dxa" w:w="9746"/>
            <w:tcMar>
              <w:top w:type="dxa" w:w="60"/>
              <w:left w:type="dxa" w:w="100"/>
              <w:bottom w:type="dxa" w:w="60"/>
              <w:right w:type="dxa" w:w="100"/>
            </w:tcMar>
            <w:vAlign w:val="center"/>
          </w:tcPr>
          <w:p>
            <w:r>
              <w:t>• ¿Por qué 'certificado.emitido' llegó solo a una de las tres colas?</w:t>
              <w:br/>
              <w:t xml:space="preserve">  Porque en el exchange temático ('eventos.academicos'), las reglas de binding definidas fueron:</w:t>
              <w:br/>
              <w:t xml:space="preserve">  - 'correo.bienvenida' escucha únicamente 'inscripcion.*' (requiere que empiece con la palabra 'inscripcion').</w:t>
              <w:br/>
              <w:t xml:space="preserve">  - 'finanzas.cobros' escucha únicamente 'pago.*' (requiere que empiece con la palabra 'pago').</w:t>
              <w:br/>
              <w:t xml:space="preserve">  - 'auditoria.todo' escucha '#' (captura todo sin importar palabras ni niveles).</w:t>
              <w:br/>
              <w:t xml:space="preserve">  La clave 'certificado.emitido' no coincide con 'inscripcion' ni con 'pago', pero coincide con '#', por lo que fue descartada por las dos primeras y copiada exclusivamente a la cola de auditoría.</w:t>
              <w:br/>
              <w:br/>
              <w:t>• Diferencia entre el comodín '*' y '#':</w:t>
              <w:br/>
              <w:t xml:space="preserve">  - El asterisco (*) sustituye EXACTAMENTE UNA palabra delimitada por puntos.</w:t>
              <w:br/>
              <w:t xml:space="preserve">  - El numeral (#) sustituye CERO, UNA O MÚLTIPLES palabras delimitadas por puntos.</w:t>
              <w:br/>
              <w:br/>
              <w:t>• Ejemplo en nuestro Proyecto Integrador (Plataforma de Comercio Electrónico y Gestión de Pedidos):</w:t>
              <w:br/>
              <w:t xml:space="preserve">  Supongamos eventos de pedidos como 'pedidos.nacional.creado' y 'pedidos.internacional.express.creado':</w:t>
              <w:br/>
              <w:t xml:space="preserve">  - El patrón 'pedidos.*.creado' coincidirá con 'pedidos.nacional.creado' (1 palabra intermedia), pero fallará con 'pedidos.internacional.express.creado' (tiene 2 palabras intermedias).</w:t>
              <w:br/>
              <w:t xml:space="preserve">  - El patrón 'pedidos.#' coincidirá con absolutamente todos los eventos generados por el dominio de pedidos (como 'pedidos.creado', 'pedidos.nacional.cancelado' o 'pedidos.internacional.express.pagado'), ideal para un microservicio de analítica global.</w:t>
            </w:r>
          </w:p>
        </w:tc>
      </w:tr>
    </w:tbl>
    <w:p>
      <w:pPr>
        <w:spacing w:after="160"/>
      </w:pPr>
    </w:p>
    <w:p>
      <w:pPr>
        <w:pBdr>
          <w:bottom w:val="single" w:color="D6DEE5" w:sz="6" w:space="3"/>
        </w:pBdr>
        <w:spacing w:after="120" w:before="300"/>
      </w:pPr>
      <w:r>
        <w:rPr>
          <w:rFonts w:ascii="Arial" w:cs="Arial" w:eastAsia="Arial" w:hAnsi="Arial"/>
          <w:b/>
          <w:bCs/>
          <w:color w:val="0F3D5C"/>
          <w:sz w:val="24"/>
          <w:szCs w:val="24"/>
        </w:rPr>
        <w:t xml:space="preserve">Laboratorio 5 — Confirmaciones y durabilidad: qué se pierde y qué se salva</w:t>
      </w:r>
    </w:p>
    <w:p>
      <w:pPr>
        <w:spacing w:after="80" w:before="0" w:line="260"/>
        <w:jc w:val="both"/>
      </w:pPr>
      <w:r>
        <w:rPr>
          <w:rFonts w:ascii="Arial" w:cs="Arial" w:eastAsia="Arial" w:hAnsi="Arial"/>
          <w:b/>
          <w:bCs/>
          <w:i w:val="false"/>
          <w:iCs w:val="false"/>
          <w:color w:val="1F8A7A"/>
          <w:sz w:val="20"/>
          <w:szCs w:val="20"/>
        </w:rPr>
        <w:t xml:space="preserve">Captura N.º 14: </w:t>
      </w:r>
      <w:r>
        <w:rPr>
          <w:rFonts w:ascii="Arial" w:cs="Arial" w:eastAsia="Arial" w:hAnsi="Arial"/>
          <w:b w:val="false"/>
          <w:bCs w:val="false"/>
          <w:i w:val="false"/>
          <w:iCs w:val="false"/>
          <w:sz w:val="20"/>
          <w:szCs w:val="20"/>
        </w:rPr>
        <w:t xml:space="preserve">consola mostrando la cola con el mensaje que pasó de Unacked a Ready tras la caída del consumidor.</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15: </w:t>
      </w:r>
      <w:r>
        <w:rPr>
          <w:rFonts w:ascii="Arial" w:cs="Arial" w:eastAsia="Arial" w:hAnsi="Arial"/>
          <w:b w:val="false"/>
          <w:bCs w:val="false"/>
          <w:i w:val="false"/>
          <w:iCs w:val="false"/>
          <w:sz w:val="20"/>
          <w:szCs w:val="20"/>
        </w:rPr>
        <w:t xml:space="preserve">consola mostrando la cola en cero después de la caída del consumidor con noAck en true: el mensaje se perdió.</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16: </w:t>
      </w:r>
      <w:r>
        <w:rPr>
          <w:rFonts w:ascii="Arial" w:cs="Arial" w:eastAsia="Arial" w:hAnsi="Arial"/>
          <w:b w:val="false"/>
          <w:bCs w:val="false"/>
          <w:i w:val="false"/>
          <w:iCs w:val="false"/>
          <w:sz w:val="20"/>
          <w:szCs w:val="20"/>
        </w:rPr>
        <w:t xml:space="preserve">lista de colas después del reinicio del broker: la cola durable con sus mensajes intactos y la cola transitoria desaparecida.</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0F3D5C"/>
          <w:sz w:val="20"/>
          <w:szCs w:val="20"/>
        </w:rPr>
        <w:t xml:space="preserve">Pregunta N.º 6. </w:t>
      </w:r>
      <w:r>
        <w:rPr>
          <w:rFonts w:ascii="Arial" w:cs="Arial" w:eastAsia="Arial" w:hAnsi="Arial"/>
          <w:b/>
          <w:bCs/>
          <w:i w:val="false"/>
          <w:iCs w:val="false"/>
          <w:sz w:val="20"/>
          <w:szCs w:val="20"/>
        </w:rPr>
        <w:t xml:space="preserve">Se necesitan dos condiciones para que un mensaje sobreviva al reinicio del broker: la cola durable y el mensaje persistente. Explique qué pasa exactamente si se cumple solo una de las dos, y por qué la durabilidad tiene un costo que no siempre conviene pagar.</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1400" w:hRule="atLeast"/>
        </w:trPr>
        <w:tc>
          <w:tcPr>
            <w:tcW w:type="dxa" w:w="9746"/>
            <w:tcMar>
              <w:top w:type="dxa" w:w="60"/>
              <w:left w:type="dxa" w:w="100"/>
              <w:bottom w:type="dxa" w:w="60"/>
              <w:right w:type="dxa" w:w="100"/>
            </w:tcMar>
            <w:vAlign w:val="center"/>
          </w:tcPr>
          <w:p>
            <w:r>
              <w:t>• ¿Qué pasa exactamente si se cumple solo una de las dos condiciones?</w:t>
              <w:br/>
              <w:t xml:space="preserve">  1. Cola Durable pero Mensaje Transitorio (persistent: false): Al reiniciar el broker, RabbitMQ recrea la definición y estructura de la cola, pero todos los mensajes que contenía desaparecen por completo porque solo residían en la memoria RAM.</w:t>
              <w:br/>
              <w:t xml:space="preserve">  2. Mensaje Persistente (persistent: true) pero Cola Transitoria (durable: false): Al reiniciar el broker, la cola completa se destruye. Al eliminarse la cola que contenía los mensajes, RabbitMQ purga automáticamente todos sus mensajes asociados, perdiéndose los datos a pesar de haber sido escritos en disco.</w:t>
              <w:br/>
              <w:t xml:space="preserve">  Conclusión: Se requiere OBLIGATORIAMENTE que ambos factores sean verdaderos para garantizar supervivencia tras un reinicio.</w:t>
              <w:br/>
              <w:br/>
              <w:t>• ¿Por qué la durabilidad tiene un costo que no siempre conviene pagar?</w:t>
              <w:br/>
              <w:t xml:space="preserve">  Porque la persistencia exige sincronizaciones forzadas y continuas a disco magnético o SSD (llamadas fsync del sistema operativo) y mantenimiento de bitácoras transaccionales de escritura anticipada (WAL). Esto introduce latencia de I/O y reduce el throughput de decenas de miles de mensajes por segundo en memoria a solo unos pocos miles en disco.</w:t>
              <w:br/>
              <w:t xml:space="preserve">  No conviene pagar este costo en casos donde el volumen es masivo y la pérdida aislada de eventos no afecta al negocio, como en telemetría de sensores IoT, coordenadas GPS de vehículos en tiempo real, métricas de monitoreo de servidores o registros de clics web (clickstream).</w:t>
            </w:r>
          </w:p>
        </w:tc>
      </w:tr>
    </w:tbl>
    <w:p>
      <w:pPr>
        <w:spacing w:after="160"/>
      </w:pPr>
    </w:p>
    <w:p>
      <w:pPr>
        <w:pBdr>
          <w:bottom w:val="single" w:color="D6DEE5" w:sz="6" w:space="3"/>
        </w:pBdr>
        <w:spacing w:after="120" w:before="300"/>
      </w:pPr>
      <w:r>
        <w:rPr>
          <w:rFonts w:ascii="Arial" w:cs="Arial" w:eastAsia="Arial" w:hAnsi="Arial"/>
          <w:b/>
          <w:bCs/>
          <w:color w:val="0F3D5C"/>
          <w:sz w:val="24"/>
          <w:szCs w:val="24"/>
        </w:rPr>
        <w:t xml:space="preserve">Laboratorio 6 — Reintentos limitados y cola de mensajes muertos</w:t>
      </w:r>
    </w:p>
    <w:p>
      <w:pPr>
        <w:spacing w:after="80" w:before="0" w:line="260"/>
        <w:jc w:val="both"/>
      </w:pPr>
      <w:r>
        <w:rPr>
          <w:rFonts w:ascii="Arial" w:cs="Arial" w:eastAsia="Arial" w:hAnsi="Arial"/>
          <w:b/>
          <w:bCs/>
          <w:i w:val="false"/>
          <w:iCs w:val="false"/>
          <w:color w:val="1F8A7A"/>
          <w:sz w:val="20"/>
          <w:szCs w:val="20"/>
        </w:rPr>
        <w:t xml:space="preserve">Captura N.º 17: </w:t>
      </w:r>
      <w:r>
        <w:rPr>
          <w:rFonts w:ascii="Arial" w:cs="Arial" w:eastAsia="Arial" w:hAnsi="Arial"/>
          <w:b w:val="false"/>
          <w:bCs w:val="false"/>
          <w:i w:val="false"/>
          <w:iCs w:val="false"/>
          <w:sz w:val="20"/>
          <w:szCs w:val="20"/>
        </w:rPr>
        <w:t xml:space="preserve">terminal del consumidor mostrando los tres intentos numerados y fallidos del mismo mensaje, con cinco segundos entre uno y otro.</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18: </w:t>
      </w:r>
      <w:r>
        <w:rPr>
          <w:rFonts w:ascii="Arial" w:cs="Arial" w:eastAsia="Arial" w:hAnsi="Arial"/>
          <w:b w:val="false"/>
          <w:bCs w:val="false"/>
          <w:i w:val="false"/>
          <w:iCs w:val="false"/>
          <w:sz w:val="20"/>
          <w:szCs w:val="20"/>
        </w:rPr>
        <w:t xml:space="preserve">consola mostrando la cola notificaciones.muertos con el mensaje dentro y su contenido desplegado en Get messages.</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0F3D5C"/>
          <w:sz w:val="20"/>
          <w:szCs w:val="20"/>
        </w:rPr>
        <w:t xml:space="preserve">Pregunta N.º 7. </w:t>
      </w:r>
      <w:r>
        <w:rPr>
          <w:rFonts w:ascii="Arial" w:cs="Arial" w:eastAsia="Arial" w:hAnsi="Arial"/>
          <w:b/>
          <w:bCs/>
          <w:i w:val="false"/>
          <w:iCs w:val="false"/>
          <w:sz w:val="20"/>
          <w:szCs w:val="20"/>
        </w:rPr>
        <w:t xml:space="preserve">La cola de mensajes muertos no tiene ningún consumidor automático conectado. ¿Por qué sería un error ponerle uno que reintente sin más? Describa qué debería hacer, paso a paso, la persona o el proceso que atienda esa cola.</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1400" w:hRule="atLeast"/>
        </w:trPr>
        <w:tc>
          <w:tcPr>
            <w:tcW w:type="dxa" w:w="9746"/>
            <w:tcMar>
              <w:top w:type="dxa" w:w="60"/>
              <w:left w:type="dxa" w:w="100"/>
              <w:bottom w:type="dxa" w:w="60"/>
              <w:right w:type="dxa" w:w="100"/>
            </w:tcMar>
            <w:vAlign w:val="center"/>
          </w:tcPr>
          <w:p>
            <w:r>
              <w:t>• ¿Por qué sería un error ponerle un consumidor automático que reintente sin más?</w:t>
              <w:br/>
              <w:t xml:space="preserve">  Porque si un mensaje aterrizó en la cola de mensajes muertos (DLQ) tras agotar todos sus reintentos, significa que su falla es determinista o sistemática (un 'poison message' o mensaje envenenado: un JSON malformado, un correo inválido como 'ana.punto.usfx.bo', un ID que viola integridad referencial en la base de datos o un tipo de dato erróneo). Un consumidor que reintente automáticamente a ciegas lo reinyectará en la cola principal, provocando un bucle infinito de caídas, saturación inútil de CPU y memoria, y contaminación de bitácoras sin resolver el problema.</w:t>
              <w:br/>
              <w:br/>
              <w:t>• Procedimiento paso a paso para atender la cola muerta:</w:t>
              <w:br/>
              <w:t xml:space="preserve">  1. Detección y Notificación: El sistema de observabilidad (Prometheus/Grafana) detecta mensajes en 'notificaciones.muertos' y dispara una alerta de soporte.</w:t>
              <w:br/>
              <w:t xml:space="preserve">  2. Diagnóstico e Inspección: El operador inspecciona el mensaje con 'Get messages' o CLI, examinando el payload y las cabeceras (x-death, excepciones registradas y marcas de tiempo) para aislar la causa raíz del fallo.</w:t>
              <w:br/>
              <w:t xml:space="preserve">  3. Corrección de la Causa Raíz:</w:t>
              <w:br/>
              <w:t xml:space="preserve">     - Si se debe a un bug en el microservicio o dependencia caída, se despliega la corrección o se reactiva el servicio externo.</w:t>
              <w:br/>
              <w:t xml:space="preserve">     - Si se debe a datos corruptos del usuario (ej. correo mal escrito), se edita y sanea manualmente el mensaje en el registro transaccional.</w:t>
              <w:br/>
              <w:t xml:space="preserve">  4. Reenrutamiento Seguro (Reprocesamiento): Mediante una herramienta como rabbitmqadmin, un script Shovel o consola, se reenvía el mensaje corregido al exchange correspondiente para que se procese normalmente.</w:t>
              <w:br/>
              <w:t xml:space="preserve">  5. Mejora Preventiva: Se registra el caso y se agrega una regla de validación preventiva en el productor (ej. validación formal de correo) para que errores de ese tipo se rechacen con HTTP 400 antes de ingresar a la cola.</w:t>
            </w:r>
          </w:p>
        </w:tc>
      </w:tr>
    </w:tbl>
    <w:p>
      <w:pPr>
        <w:spacing w:after="160"/>
      </w:pPr>
    </w:p>
    <w:p>
      <w:pPr>
        <w:pBdr>
          <w:bottom w:val="single" w:color="D6DEE5" w:sz="6" w:space="3"/>
        </w:pBdr>
        <w:spacing w:after="120" w:before="300"/>
      </w:pPr>
      <w:r>
        <w:rPr>
          <w:rFonts w:ascii="Arial" w:cs="Arial" w:eastAsia="Arial" w:hAnsi="Arial"/>
          <w:b/>
          <w:bCs/>
          <w:color w:val="0F3D5C"/>
          <w:sz w:val="24"/>
          <w:szCs w:val="24"/>
        </w:rPr>
        <w:t xml:space="preserve">Laboratorio 7 — Idempotencia: el mismo evento dos veces sin doble efecto</w:t>
      </w:r>
    </w:p>
    <w:p>
      <w:pPr>
        <w:spacing w:after="80" w:before="0" w:line="260"/>
        <w:jc w:val="both"/>
      </w:pPr>
      <w:r>
        <w:rPr>
          <w:rFonts w:ascii="Arial" w:cs="Arial" w:eastAsia="Arial" w:hAnsi="Arial"/>
          <w:b/>
          <w:bCs/>
          <w:i w:val="false"/>
          <w:iCs w:val="false"/>
          <w:color w:val="1F8A7A"/>
          <w:sz w:val="20"/>
          <w:szCs w:val="20"/>
        </w:rPr>
        <w:t xml:space="preserve">Captura N.º 19: </w:t>
      </w:r>
      <w:r>
        <w:rPr>
          <w:rFonts w:ascii="Arial" w:cs="Arial" w:eastAsia="Arial" w:hAnsi="Arial"/>
          <w:b w:val="false"/>
          <w:bCs w:val="false"/>
          <w:i w:val="false"/>
          <w:iCs w:val="false"/>
          <w:sz w:val="20"/>
          <w:szCs w:val="20"/>
        </w:rPr>
        <w:t xml:space="preserve">terminal del consumidor mostrando el mismo identificador de evento procesado dos veces y el cupo descontado dos veces.</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1F8A7A"/>
          <w:sz w:val="20"/>
          <w:szCs w:val="20"/>
        </w:rPr>
        <w:t xml:space="preserve">Captura N.º 20: </w:t>
      </w:r>
      <w:r>
        <w:rPr>
          <w:rFonts w:ascii="Arial" w:cs="Arial" w:eastAsia="Arial" w:hAnsi="Arial"/>
          <w:b w:val="false"/>
          <w:bCs w:val="false"/>
          <w:i w:val="false"/>
          <w:iCs w:val="false"/>
          <w:sz w:val="20"/>
          <w:szCs w:val="20"/>
        </w:rPr>
        <w:t xml:space="preserve">terminal del consumidor mostrando el mensaje repetido reconocido e ignorado, con el cupo descontado una sola vez.</w:t>
      </w:r>
    </w:p>
    <w:tbl>
      <w:tblPr>
        <w:tblW w:type="dxa" w:w="9746"/>
        <w:tblBorders>
          <w:top w:val="dashed" w:color="D6DEE5" w:sz="4"/>
          <w:left w:val="dashed" w:color="D6DEE5" w:sz="4"/>
          <w:bottom w:val="dashed" w:color="D6DEE5" w:sz="4"/>
          <w:right w:val="dashed" w:color="D6DEE5" w:sz="4"/>
          <w:insideH w:val="single" w:color="auto" w:sz="4"/>
          <w:insideV w:val="single" w:color="auto" w:sz="4"/>
        </w:tblBorders>
      </w:tblPr>
      <w:tblGrid>
        <w:gridCol w:w="9746"/>
      </w:tblGrid>
      <w:tr>
        <w:trPr>
          <w:trHeight w:val="2100" w:hRule="atLeast"/>
        </w:trPr>
        <w:tc>
          <w:tcPr>
            <w:tcW w:type="dxa" w:w="9746"/>
            <w:tcMar>
              <w:top w:type="dxa" w:w="60"/>
              <w:left w:type="dxa" w:w="100"/>
              <w:bottom w:type="dxa" w:w="60"/>
              <w:right w:type="dxa" w:w="100"/>
            </w:tcMar>
            <w:vAlign w:val="center"/>
          </w:tcPr>
          <w:p>
            <w:pPr>
              <w:spacing w:after="800" w:before="800"/>
              <w:jc w:val="center"/>
            </w:pPr>
            <w:r>
              <w:rPr>
                <w:rFonts w:ascii="Arial" w:cs="Arial" w:eastAsia="Arial" w:hAnsi="Arial"/>
                <w:b w:val="false"/>
                <w:bCs w:val="false"/>
                <w:i/>
                <w:iCs/>
                <w:color w:val="8F9EAA"/>
                <w:sz w:val="20"/>
                <w:szCs w:val="20"/>
              </w:rPr>
              <w:t xml:space="preserve">[ Pegue aquí la captura de pantalla ]</w:t>
            </w:r>
          </w:p>
        </w:tc>
      </w:tr>
    </w:tbl>
    <w:p>
      <w:pPr>
        <w:spacing w:after="160"/>
      </w:pPr>
    </w:p>
    <w:p>
      <w:pPr>
        <w:spacing w:after="80" w:before="0" w:line="260"/>
        <w:jc w:val="both"/>
      </w:pPr>
      <w:r>
        <w:rPr>
          <w:rFonts w:ascii="Arial" w:cs="Arial" w:eastAsia="Arial" w:hAnsi="Arial"/>
          <w:b/>
          <w:bCs/>
          <w:i w:val="false"/>
          <w:iCs w:val="false"/>
          <w:color w:val="0F3D5C"/>
          <w:sz w:val="20"/>
          <w:szCs w:val="20"/>
        </w:rPr>
        <w:t xml:space="preserve">Pregunta N.º 8. </w:t>
      </w:r>
      <w:r>
        <w:rPr>
          <w:rFonts w:ascii="Arial" w:cs="Arial" w:eastAsia="Arial" w:hAnsi="Arial"/>
          <w:b/>
          <w:bCs/>
          <w:i w:val="false"/>
          <w:iCs w:val="false"/>
          <w:sz w:val="20"/>
          <w:szCs w:val="20"/>
        </w:rPr>
        <w:t xml:space="preserve">El broker garantiza la entrega al menos una vez, pero no exactamente una vez. Explique por qué le resulta imposible garantizarlo y en qué parte del sistema queda entonces la responsabilidad. Dé un ejemplo de su proyecto integrador donde una entrega repetida causaría un daño visible al usuario.</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1400" w:hRule="atLeast"/>
        </w:trPr>
        <w:tc>
          <w:tcPr>
            <w:tcW w:type="dxa" w:w="9746"/>
            <w:tcMar>
              <w:top w:type="dxa" w:w="60"/>
              <w:left w:type="dxa" w:w="100"/>
              <w:bottom w:type="dxa" w:w="60"/>
              <w:right w:type="dxa" w:w="100"/>
            </w:tcMar>
            <w:vAlign w:val="center"/>
          </w:tcPr>
          <w:p>
            <w:r>
              <w:t>• ¿Por qué le resulta imposible al broker garantizar la entrega 'exactamente una vez'?</w:t>
              <w:br/>
              <w:t xml:space="preserve">  Debido a las limitaciones inherentes a las redes en sistemas distribuidos (el Teorema CAP y el Problema de los Dos Generales). Cuando el consumidor termina de procesar un mensaje y envía la confirmación (ack) por la red, la conexión puede sufrir un corte, un timeout o el consumidor puede caerse justo antes de que el paquete de red alcance al broker. Al cerrarse la conexión sin confirmación, RabbitMQ no puede distinguir si el procesamiento se completó o si falló; por ende, para cumplir su promesa de 'al menos una vez' (no perder mensajes), está obligado a reencolarlo y entregarlo a otro consumidor, provocando una entrega duplicada.</w:t>
              <w:br/>
              <w:br/>
              <w:t>• ¿En qué parte del sistema queda la responsabilidad?</w:t>
              <w:br/>
              <w:t xml:space="preserve">  La responsabilidad recae enteramente en el MICROSERVICIO CONSUMIDOR. Debe implementarse lógica de IDEMPOTENCIA: registrar en un almacén persistente (tabla con clave única o índice) el identificador del evento ('messageId'). Si llega un evento repetido, se reconoce e ignora el efecto secundario, confirmando el mensaje con ack para que no siga circulando.</w:t>
              <w:br/>
              <w:br/>
              <w:t>• Ejemplo y daño visible en nuestro Proyecto Integrador (Plataforma de Comercio Electrónico y Pedidos):</w:t>
              <w:br/>
              <w:t xml:space="preserve">  En el microservicio de Pagos y Facturación, al recibir el evento 'PedidoConfirmado': si el consumidor debita el saldo de la tarjeta o cuenta del cliente y sufre una pérdida de red antes de enviar el ack, el broker reentregará el evento. Si el consumidor no fuera idempotente, cobraría el dinero POR SEGUNDA VEZ, generando un cobro duplicado y daño financiero directo y visible en el extracto bancario del usuario.</w:t>
            </w:r>
          </w:p>
        </w:tc>
      </w:tr>
    </w:tbl>
    <w:p>
      <w:pPr>
        <w:spacing w:after="160"/>
      </w:pPr>
    </w:p>
    <w:p>
      <w:pPr>
        <w:pBdr>
          <w:bottom w:val="single" w:color="D6DEE5" w:sz="6" w:space="3"/>
        </w:pBdr>
        <w:spacing w:after="120" w:before="300"/>
      </w:pPr>
      <w:r>
        <w:rPr>
          <w:rFonts w:ascii="Arial" w:cs="Arial" w:eastAsia="Arial" w:hAnsi="Arial"/>
          <w:b/>
          <w:bCs/>
          <w:color w:val="0F3D5C"/>
          <w:sz w:val="24"/>
          <w:szCs w:val="24"/>
        </w:rPr>
        <w:t xml:space="preserve">Cierre de la Parte 1</w:t>
      </w:r>
    </w:p>
    <w:p>
      <w:pPr>
        <w:spacing w:after="100" w:before="0" w:line="260"/>
        <w:jc w:val="both"/>
      </w:pPr>
      <w:r>
        <w:rPr>
          <w:rFonts w:ascii="Arial" w:cs="Arial" w:eastAsia="Arial" w:hAnsi="Arial"/>
          <w:b w:val="false"/>
          <w:bCs w:val="false"/>
          <w:i w:val="false"/>
          <w:iCs w:val="false"/>
          <w:sz w:val="20"/>
          <w:szCs w:val="20"/>
        </w:rPr>
        <w:t xml:space="preserve">Responda brevemente antes de entregar:</w:t>
      </w:r>
    </w:p>
    <w:p>
      <w:pPr>
        <w:spacing w:after="60" w:before="0" w:line="260"/>
        <w:jc w:val="both"/>
      </w:pPr>
      <w:r>
        <w:rPr>
          <w:rFonts w:ascii="Arial" w:cs="Arial" w:eastAsia="Arial" w:hAnsi="Arial"/>
          <w:b/>
          <w:bCs/>
          <w:i w:val="false"/>
          <w:iCs w:val="false"/>
          <w:sz w:val="20"/>
          <w:szCs w:val="20"/>
        </w:rPr>
        <w:t xml:space="preserve">¿Qué parte de la práctica le resultó más difícil y por qué?</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900" w:hRule="atLeast"/>
        </w:trPr>
        <w:tc>
          <w:tcPr>
            <w:tcW w:type="dxa" w:w="9746"/>
            <w:tcMar>
              <w:top w:type="dxa" w:w="60"/>
              <w:left w:type="dxa" w:w="100"/>
              <w:bottom w:type="dxa" w:w="60"/>
              <w:right w:type="dxa" w:w="100"/>
            </w:tcMar>
            <w:vAlign w:val="center"/>
          </w:tcPr>
          <w:p>
            <w:r>
              <w:t>La configuración y comprensión del circuito de Dead Letter Queue (DLQ) mediante el encabezado x-death y la combinación con colas de espera basadas en TTL. Articular exchanges directos de reintento, colas con tiempo de expiración y el salto ordenado hacia la cola muerta final exigió comprender con exactitud el ciclo de vida de los mensajes en el protocolo AMQP.</w:t>
            </w:r>
          </w:p>
        </w:tc>
      </w:tr>
    </w:tbl>
    <w:p>
      <w:pPr>
        <w:spacing w:after="140"/>
      </w:pPr>
    </w:p>
    <w:p>
      <w:pPr>
        <w:spacing w:after="60" w:before="0" w:line="260"/>
        <w:jc w:val="both"/>
      </w:pPr>
      <w:r>
        <w:rPr>
          <w:rFonts w:ascii="Arial" w:cs="Arial" w:eastAsia="Arial" w:hAnsi="Arial"/>
          <w:b/>
          <w:bCs/>
          <w:i w:val="false"/>
          <w:iCs w:val="false"/>
          <w:sz w:val="20"/>
          <w:szCs w:val="20"/>
        </w:rPr>
        <w:t xml:space="preserve">¿Qué error tuvo que resolver por su cuenta y cómo lo resolvió?</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900" w:hRule="atLeast"/>
        </w:trPr>
        <w:tc>
          <w:tcPr>
            <w:tcW w:type="dxa" w:w="9746"/>
            <w:tcMar>
              <w:top w:type="dxa" w:w="60"/>
              <w:left w:type="dxa" w:w="100"/>
              <w:bottom w:type="dxa" w:w="60"/>
              <w:right w:type="dxa" w:w="100"/>
            </w:tcMar>
            <w:vAlign w:val="center"/>
          </w:tcPr>
          <w:p>
            <w:r>
              <w:t>El error PRECONDITION_FAILED - inequivalent arg al intentar redeclarar la cola 'notificaciones.correo' agregando el argumento x-dead-letter-exchange. Se resolvió comprendiendo que RabbitMQ prohíbe por diseño mutar la estructura de una cola existente en caliente para proteger la consistencia de los datos, por lo que fue necesario eliminarla limpiamente desde la consola de administración antes de ejecutar el script dlq.js.</w:t>
            </w:r>
          </w:p>
        </w:tc>
      </w:tr>
    </w:tbl>
    <w:p>
      <w:pPr>
        <w:spacing w:after="140"/>
      </w:pPr>
    </w:p>
    <w:p>
      <w:pPr>
        <w:spacing w:after="60" w:before="0" w:line="260"/>
        <w:jc w:val="both"/>
      </w:pPr>
      <w:r>
        <w:rPr>
          <w:rFonts w:ascii="Arial" w:cs="Arial" w:eastAsia="Arial" w:hAnsi="Arial"/>
          <w:b/>
          <w:bCs/>
          <w:i w:val="false"/>
          <w:iCs w:val="false"/>
          <w:sz w:val="20"/>
          <w:szCs w:val="20"/>
        </w:rPr>
        <w:t xml:space="preserve">¿Qué haría distinto si tuviera que repetir esta práctica?</w:t>
      </w:r>
    </w:p>
    <w:tbl>
      <w:tblPr>
        <w:tblW w:type="dxa" w:w="9746"/>
        <w:tblBorders>
          <w:top w:val="single" w:color="D6DEE5" w:sz="4"/>
          <w:left w:val="single" w:color="D6DEE5" w:sz="4"/>
          <w:bottom w:val="single" w:color="D6DEE5" w:sz="4"/>
          <w:right w:val="single" w:color="D6DEE5" w:sz="4"/>
          <w:insideH w:val="single" w:color="auto" w:sz="4"/>
          <w:insideV w:val="single" w:color="auto" w:sz="4"/>
        </w:tblBorders>
      </w:tblPr>
      <w:tblGrid>
        <w:gridCol w:w="9746"/>
      </w:tblGrid>
      <w:tr>
        <w:trPr>
          <w:trHeight w:val="900" w:hRule="atLeast"/>
        </w:trPr>
        <w:tc>
          <w:tcPr>
            <w:tcW w:type="dxa" w:w="9746"/>
            <w:tcMar>
              <w:top w:type="dxa" w:w="60"/>
              <w:left w:type="dxa" w:w="100"/>
              <w:bottom w:type="dxa" w:w="60"/>
              <w:right w:type="dxa" w:w="100"/>
            </w:tcMar>
            <w:vAlign w:val="center"/>
          </w:tcPr>
          <w:p>
            <w:r>
              <w:t>Adoptaría desde el inicio una convención formal de nombres de tópicos jerárquicos y persistencia transaccional (Transactional Outbox Pattern) respaldada por una base de datos relacional para el registro de idempotencia en lugar de estructuras en memoria, garantizando consistencia absoluta entre los estados del microservicio y los eventos emitidos al broker.</w:t>
            </w:r>
          </w:p>
        </w:tc>
      </w:tr>
    </w:tbl>
    <w:p>
      <w:pPr>
        <w:spacing w:after="140"/>
      </w:pPr>
    </w:p>
    <w:p>
      <w:pPr>
        <w:spacing w:after="200"/>
      </w:pPr>
    </w:p>
    <w:tbl>
      <w:tblPr>
        <w:tblW w:type="dxa" w:w="9746"/>
        <w:tblBorders>
          <w:top w:val="single" w:color="B3261E" w:sz="4"/>
          <w:left w:val="single" w:color="B3261E" w:sz="18"/>
          <w:bottom w:val="single" w:color="B3261E" w:sz="4"/>
          <w:right w:val="single" w:color="B3261E" w:sz="4"/>
          <w:insideH w:val="single" w:color="auto" w:sz="4"/>
          <w:insideV w:val="single" w:color="auto" w:sz="4"/>
        </w:tblBorders>
      </w:tblPr>
      <w:tblGrid>
        <w:gridCol w:w="9746"/>
      </w:tblGrid>
      <w:tr>
        <w:tc>
          <w:tcPr>
            <w:tcW w:type="dxa" w:w="9746"/>
            <w:shd w:fill="F1F5F8" w:color="auto" w:val="clear"/>
            <w:tcMar>
              <w:top w:type="dxa" w:w="60"/>
              <w:left w:type="dxa" w:w="100"/>
              <w:bottom w:type="dxa" w:w="60"/>
              <w:right w:type="dxa" w:w="100"/>
            </w:tcMar>
            <w:vAlign w:val="center"/>
          </w:tcPr>
          <w:p>
            <w:pPr>
              <w:spacing w:after="0" w:line="250"/>
              <w:jc w:val="both"/>
            </w:pPr>
            <w:r>
              <w:rPr>
                <w:rFonts w:ascii="Arial" w:cs="Arial" w:eastAsia="Arial" w:hAnsi="Arial"/>
                <w:b/>
                <w:bCs/>
                <w:i w:val="false"/>
                <w:iCs w:val="false"/>
                <w:color w:val="B3261E"/>
                <w:sz w:val="20"/>
                <w:szCs w:val="20"/>
              </w:rPr>
              <w:t xml:space="preserve">Declaración de autoría: </w:t>
            </w:r>
            <w:r>
              <w:rPr>
                <w:rFonts w:ascii="Arial" w:cs="Arial" w:eastAsia="Arial" w:hAnsi="Arial"/>
                <w:b w:val="false"/>
                <w:bCs w:val="false"/>
                <w:i w:val="false"/>
                <w:iCs w:val="false"/>
                <w:sz w:val="20"/>
                <w:szCs w:val="20"/>
              </w:rPr>
              <w:t xml:space="preserve">Declaro que las capturas presentadas fueron tomadas en mi propio equipo y que las respuestas son de mi autoría. Entiendo que presentar evidencias de otra persona anula la Parte 1 de esta práctica.</w:t>
            </w:r>
          </w:p>
        </w:tc>
      </w:tr>
    </w:tbl>
    <w:p>
      <w:pPr>
        <w:spacing w:after="400"/>
      </w:pPr>
    </w:p>
    <w:tbl>
      <w:tblPr>
        <w:tblW w:type="dxa" w:w="9746"/>
        <w:tblBorders>
          <w:top w:val="none"/>
          <w:left w:val="none"/>
          <w:bottom w:val="none"/>
          <w:right w:val="none"/>
          <w:insideH w:val="none"/>
          <w:insideV w:val="none"/>
        </w:tblBorders>
      </w:tblPr>
      <w:tblGrid>
        <w:gridCol w:w="4873"/>
        <w:gridCol w:w="4873"/>
      </w:tblGrid>
      <w:tr>
        <w:tc>
          <w:tcPr>
            <w:tcW w:type="dxa" w:w="4873"/>
            <w:tcMar>
              <w:top w:type="dxa" w:w="60"/>
              <w:left w:type="dxa" w:w="100"/>
              <w:bottom w:type="dxa" w:w="60"/>
              <w:right w:type="dxa" w:w="100"/>
            </w:tcMar>
            <w:vAlign w:val="center"/>
          </w:tcPr>
          <w:p>
            <w:pPr>
              <w:spacing w:after="0"/>
              <w:jc w:val="center"/>
            </w:pPr>
            <w:r>
              <w:rPr>
                <w:rFonts w:ascii="Arial" w:cs="Arial" w:eastAsia="Arial" w:hAnsi="Arial"/>
                <w:b w:val="false"/>
                <w:bCs w:val="false"/>
                <w:i w:val="false"/>
                <w:iCs w:val="false"/>
                <w:sz w:val="20"/>
                <w:szCs w:val="20"/>
              </w:rPr>
              <w:t xml:space="preserve">_____________________________</w:t>
            </w:r>
          </w:p>
          <w:p>
            <w:pPr>
              <w:spacing w:after="0"/>
              <w:jc w:val="center"/>
            </w:pPr>
            <w:r>
              <w:rPr>
                <w:rFonts w:ascii="Arial" w:cs="Arial" w:eastAsia="Arial" w:hAnsi="Arial"/>
                <w:b w:val="false"/>
                <w:bCs w:val="false"/>
                <w:i w:val="false"/>
                <w:iCs w:val="false"/>
                <w:color w:val="5A6B78"/>
                <w:sz w:val="18"/>
                <w:szCs w:val="18"/>
              </w:rPr>
              <w:t xml:space="preserve">Firma del estudiante</w:t>
            </w:r>
          </w:p>
        </w:tc>
        <w:tc>
          <w:tcPr>
            <w:tcW w:type="dxa" w:w="4873"/>
            <w:tcMar>
              <w:top w:type="dxa" w:w="60"/>
              <w:left w:type="dxa" w:w="100"/>
              <w:bottom w:type="dxa" w:w="60"/>
              <w:right w:type="dxa" w:w="100"/>
            </w:tcMar>
            <w:vAlign w:val="center"/>
          </w:tcPr>
          <w:p>
            <w:pPr>
              <w:spacing w:after="0"/>
              <w:jc w:val="center"/>
            </w:pPr>
            <w:r>
              <w:rPr>
                <w:rFonts w:ascii="Arial" w:cs="Arial" w:eastAsia="Arial" w:hAnsi="Arial"/>
                <w:b w:val="false"/>
                <w:bCs w:val="false"/>
                <w:i w:val="false"/>
                <w:iCs w:val="false"/>
                <w:sz w:val="20"/>
                <w:szCs w:val="20"/>
              </w:rPr>
              <w:t xml:space="preserve">_____________________________</w:t>
            </w:r>
          </w:p>
          <w:p>
            <w:pPr>
              <w:spacing w:after="0"/>
              <w:jc w:val="center"/>
            </w:pPr>
            <w:r>
              <w:rPr>
                <w:rFonts w:ascii="Arial" w:cs="Arial" w:eastAsia="Arial" w:hAnsi="Arial"/>
                <w:b w:val="false"/>
                <w:bCs w:val="false"/>
                <w:i w:val="false"/>
                <w:iCs w:val="false"/>
                <w:color w:val="5A6B78"/>
                <w:sz w:val="18"/>
                <w:szCs w:val="18"/>
              </w:rPr>
              <w:t xml:space="preserve">Fecha</w:t>
            </w:r>
          </w:p>
        </w:tc>
      </w:tr>
    </w:tbl>
    <w:sectPr>
      <w:headerReference w:type="default" r:id="rId7"/>
      <w:footerReference w:type="default" r:id="rId8"/>
      <w:pgSz w:w="11906" w:h="16838" w:orient="portrait"/>
      <w:pgMar w:top="1400" w:right="1080" w:bottom="1080" w:left="1080" w:header="56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5" w:sz="4" w:space="3"/>
      </w:pBdr>
    </w:pPr>
    <w:r>
      <w:rPr>
        <w:rFonts w:ascii="Arial" w:cs="Arial" w:eastAsia="Arial" w:hAnsi="Arial"/>
        <w:b w:val="false"/>
        <w:bCs w:val="false"/>
        <w:i w:val="false"/>
        <w:iCs w:val="false"/>
        <w:color w:val="8F9EAA"/>
        <w:sz w:val="15"/>
        <w:szCs w:val="15"/>
      </w:rPr>
      <w:t xml:space="preserve">COM-600 Microservicios · Práctica N.º 6 · Hoja de Evidencias</w:t>
    </w:r>
    <w:r>
      <w:rPr>
        <w:rFonts w:ascii="Arial" w:cs="Arial" w:eastAsia="Arial" w:hAnsi="Arial"/>
        <w:sz w:val="15"/>
        <w:szCs w:val="15"/>
      </w:rPr>
      <w:ptab w:alignment="right" w:relativeTo="margin"/>
    </w:r>
    <w:r>
      <w:rPr>
        <w:rFonts w:ascii="Arial" w:cs="Arial" w:eastAsia="Arial" w:hAnsi="Arial"/>
        <w:color w:val="8F9EAA"/>
        <w:sz w:val="15"/>
        <w:szCs w:val="15"/>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none"/>
        <w:left w:val="none"/>
        <w:bottom w:val="single" w:color="D6DEE5" w:sz="4"/>
        <w:right w:val="none"/>
        <w:insideH w:val="none"/>
        <w:insideV w:val="none"/>
      </w:tblBorders>
    </w:tblPr>
    <w:tblGrid>
      <w:gridCol w:w="6400"/>
      <w:gridCol w:w="3346"/>
    </w:tblGrid>
    <w:tr>
      <w:tc>
        <w:tcPr>
          <w:tcW w:type="dxa" w:w="6400"/>
          <w:tcMar>
            <w:top w:type="dxa" w:w="60"/>
            <w:left w:type="dxa" w:w="100"/>
            <w:bottom w:type="dxa" w:w="60"/>
            <w:right w:type="dxa" w:w="100"/>
          </w:tcMar>
          <w:vAlign w:val="center"/>
        </w:tcPr>
        <w:p>
          <w:pPr>
            <w:spacing w:after="0"/>
          </w:pPr>
          <w:r>
            <w:rPr>
              <w:rFonts w:ascii="Arial" w:cs="Arial" w:eastAsia="Arial" w:hAnsi="Arial"/>
              <w:b/>
              <w:bCs/>
              <w:i w:val="false"/>
              <w:iCs w:val="false"/>
              <w:color w:val="0F3D5C"/>
              <w:sz w:val="15"/>
              <w:szCs w:val="15"/>
            </w:rPr>
            <w:t xml:space="preserve">UNIVERSIDAD MAYOR REAL Y PONTIFICIA DE SAN FRANCISCO XAVIER DE CHUQUISACA</w:t>
          </w:r>
        </w:p>
        <w:p>
          <w:pPr>
            <w:spacing w:after="40"/>
          </w:pPr>
          <w:r>
            <w:rPr>
              <w:rFonts w:ascii="Arial" w:cs="Arial" w:eastAsia="Arial" w:hAnsi="Arial"/>
              <w:b w:val="false"/>
              <w:bCs w:val="false"/>
              <w:i w:val="false"/>
              <w:iCs w:val="false"/>
              <w:color w:val="5A6B78"/>
              <w:sz w:val="15"/>
              <w:szCs w:val="15"/>
            </w:rPr>
            <w:t xml:space="preserve">Facultad de Ciencia y Tecnología · COM-600 Microservicios</w:t>
          </w:r>
        </w:p>
      </w:tc>
      <w:tc>
        <w:tcPr>
          <w:tcW w:type="dxa" w:w="3346"/>
          <w:tcMar>
            <w:top w:type="dxa" w:w="60"/>
            <w:left w:type="dxa" w:w="100"/>
            <w:bottom w:type="dxa" w:w="60"/>
            <w:right w:type="dxa" w:w="100"/>
          </w:tcMar>
          <w:vAlign w:val="center"/>
        </w:tcPr>
        <w:p>
          <w:pPr>
            <w:spacing w:after="0"/>
            <w:jc w:val="right"/>
          </w:pPr>
          <w:r>
            <w:rPr>
              <w:rFonts w:ascii="Arial" w:cs="Arial" w:eastAsia="Arial" w:hAnsi="Arial"/>
              <w:b/>
              <w:bCs/>
              <w:i w:val="false"/>
              <w:iCs w:val="false"/>
              <w:color w:val="1F8A7A"/>
              <w:sz w:val="15"/>
              <w:szCs w:val="15"/>
            </w:rPr>
            <w:t xml:space="preserve">PRÁCTICA N.º 6</w:t>
          </w:r>
        </w:p>
      </w:tc>
    </w:tr>
  </w:tbl>
  <w:p>
    <w:pP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lvl>
  </w:abstractNum>
  <w:abstractNum w:abstractNumId="3" w15:restartNumberingAfterBreak="0">
    <w:multiLevelType w:val="hybridMultilevel"/>
    <w:lvl w:ilvl="0" w15:tentative="1">
      <w:start w:val="1"/>
      <w:numFmt w:val="decimal"/>
      <w:lvlText w:val="%1."/>
      <w:lvlJc w:val="start"/>
      <w:pPr>
        <w:ind w:left="4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N.º 6 — Mensajería asíncrona con RabbitMQ — Hoja de Evidencias</dc:title>
  <dc:creator>Montellano Barriga Carlos David</dc:creator>
  <cp:lastModifiedBy>Un-named</cp:lastModifiedBy>
  <cp:revision>1</cp:revision>
  <dcterms:created xsi:type="dcterms:W3CDTF">2026-08-27T21:23:13.134Z</dcterms:created>
  <dcterms:modified xsi:type="dcterms:W3CDTF">2026-08-27T21:23:13.134Z</dcterms:modified>
</cp:coreProperties>
</file>

<file path=docProps/custom.xml><?xml version="1.0" encoding="utf-8"?>
<Properties xmlns="http://schemas.openxmlformats.org/officeDocument/2006/custom-properties" xmlns:vt="http://schemas.openxmlformats.org/officeDocument/2006/docPropsVTypes"/>
</file>