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DD113" w14:textId="77777777" w:rsidR="005C4A33" w:rsidRDefault="00000000">
      <w:pPr>
        <w:spacing w:after="40"/>
      </w:pPr>
      <w:proofErr w:type="gramStart"/>
      <w:r>
        <w:rPr>
          <w:b/>
          <w:bCs/>
          <w:color w:val="1F8A7A"/>
        </w:rPr>
        <w:t>PRÁCTICA N.º</w:t>
      </w:r>
      <w:proofErr w:type="gramEnd"/>
      <w:r>
        <w:rPr>
          <w:b/>
          <w:bCs/>
          <w:color w:val="1F8A7A"/>
        </w:rPr>
        <w:t xml:space="preserve"> 3 — HOJA DE EVIDENCIAS</w:t>
      </w:r>
    </w:p>
    <w:p w14:paraId="431A8870" w14:textId="77777777" w:rsidR="005C4A33" w:rsidRDefault="00000000">
      <w:pPr>
        <w:spacing w:after="60"/>
      </w:pPr>
      <w:r>
        <w:rPr>
          <w:b/>
          <w:bCs/>
          <w:color w:val="0F3D5C"/>
          <w:sz w:val="30"/>
          <w:szCs w:val="30"/>
        </w:rPr>
        <w:t>Construcción y consumo de servicios REST</w:t>
      </w:r>
    </w:p>
    <w:p w14:paraId="6BF115EA" w14:textId="77777777" w:rsidR="005C4A33" w:rsidRDefault="00000000">
      <w:pPr>
        <w:spacing w:after="200"/>
      </w:pPr>
      <w:r>
        <w:rPr>
          <w:color w:val="5A6B78"/>
          <w:sz w:val="19"/>
          <w:szCs w:val="19"/>
        </w:rPr>
        <w:t>COM-600 · Microservicios · Gestión 2/2026 · Tema 4 — Comunicación entre Microservicios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5C4A33" w14:paraId="38B646CD" w14:textId="77777777">
        <w:tc>
          <w:tcPr>
            <w:tcW w:w="2600" w:type="dxa"/>
            <w:shd w:val="clear" w:color="auto" w:fill="E7EEF3"/>
            <w:tcMar>
              <w:top w:w="60" w:type="dxa"/>
              <w:left w:w="100" w:type="dxa"/>
              <w:bottom w:w="60" w:type="dxa"/>
              <w:right w:w="100" w:type="dxa"/>
            </w:tcMar>
            <w:vAlign w:val="center"/>
          </w:tcPr>
          <w:p w14:paraId="1AE29B0F" w14:textId="77777777" w:rsidR="005C4A33" w:rsidRDefault="00000000">
            <w:r>
              <w:rPr>
                <w:b/>
                <w:bCs/>
                <w:sz w:val="18"/>
                <w:szCs w:val="18"/>
              </w:rPr>
              <w:t>Nombre y apellidos</w:t>
            </w:r>
          </w:p>
        </w:tc>
        <w:tc>
          <w:tcPr>
            <w:tcW w:w="7146" w:type="dxa"/>
            <w:tcMar>
              <w:top w:w="60" w:type="dxa"/>
              <w:left w:w="100" w:type="dxa"/>
              <w:bottom w:w="60" w:type="dxa"/>
              <w:right w:w="100" w:type="dxa"/>
            </w:tcMar>
            <w:vAlign w:val="center"/>
          </w:tcPr>
          <w:p w14:paraId="02635B68" w14:textId="77777777" w:rsidR="005C4A33" w:rsidRDefault="005C4A33"/>
        </w:tc>
      </w:tr>
      <w:tr w:rsidR="005C4A33" w14:paraId="4013FDF1" w14:textId="77777777">
        <w:tc>
          <w:tcPr>
            <w:tcW w:w="2600" w:type="dxa"/>
            <w:shd w:val="clear" w:color="auto" w:fill="E7EEF3"/>
            <w:tcMar>
              <w:top w:w="60" w:type="dxa"/>
              <w:left w:w="100" w:type="dxa"/>
              <w:bottom w:w="60" w:type="dxa"/>
              <w:right w:w="100" w:type="dxa"/>
            </w:tcMar>
            <w:vAlign w:val="center"/>
          </w:tcPr>
          <w:p w14:paraId="43C6EBC9" w14:textId="77777777" w:rsidR="005C4A33" w:rsidRDefault="00000000">
            <w:r>
              <w:rPr>
                <w:b/>
                <w:bCs/>
                <w:sz w:val="18"/>
                <w:szCs w:val="18"/>
              </w:rPr>
              <w:t>Código universitario (CU)</w:t>
            </w:r>
          </w:p>
        </w:tc>
        <w:tc>
          <w:tcPr>
            <w:tcW w:w="7146" w:type="dxa"/>
            <w:tcMar>
              <w:top w:w="60" w:type="dxa"/>
              <w:left w:w="100" w:type="dxa"/>
              <w:bottom w:w="60" w:type="dxa"/>
              <w:right w:w="100" w:type="dxa"/>
            </w:tcMar>
            <w:vAlign w:val="center"/>
          </w:tcPr>
          <w:p w14:paraId="4150492C" w14:textId="13DAAB78" w:rsidR="005C4A33" w:rsidRDefault="005C4A33"/>
        </w:tc>
      </w:tr>
      <w:tr w:rsidR="005C4A33" w14:paraId="3CA0A8FC" w14:textId="77777777">
        <w:tc>
          <w:tcPr>
            <w:tcW w:w="2600" w:type="dxa"/>
            <w:shd w:val="clear" w:color="auto" w:fill="E7EEF3"/>
            <w:tcMar>
              <w:top w:w="60" w:type="dxa"/>
              <w:left w:w="100" w:type="dxa"/>
              <w:bottom w:w="60" w:type="dxa"/>
              <w:right w:w="100" w:type="dxa"/>
            </w:tcMar>
            <w:vAlign w:val="center"/>
          </w:tcPr>
          <w:p w14:paraId="5A01E209" w14:textId="77777777" w:rsidR="005C4A33" w:rsidRDefault="00000000">
            <w:r>
              <w:rPr>
                <w:b/>
                <w:bCs/>
                <w:sz w:val="18"/>
                <w:szCs w:val="18"/>
              </w:rPr>
              <w:t>Carrera y paralelo</w:t>
            </w:r>
          </w:p>
        </w:tc>
        <w:tc>
          <w:tcPr>
            <w:tcW w:w="7146" w:type="dxa"/>
            <w:tcMar>
              <w:top w:w="60" w:type="dxa"/>
              <w:left w:w="100" w:type="dxa"/>
              <w:bottom w:w="60" w:type="dxa"/>
              <w:right w:w="100" w:type="dxa"/>
            </w:tcMar>
            <w:vAlign w:val="center"/>
          </w:tcPr>
          <w:p w14:paraId="15496B28" w14:textId="77777777" w:rsidR="005C4A33" w:rsidRDefault="005C4A33"/>
        </w:tc>
      </w:tr>
      <w:tr w:rsidR="005C4A33" w14:paraId="32A3E19A" w14:textId="77777777">
        <w:tc>
          <w:tcPr>
            <w:tcW w:w="2600" w:type="dxa"/>
            <w:shd w:val="clear" w:color="auto" w:fill="E7EEF3"/>
            <w:tcMar>
              <w:top w:w="60" w:type="dxa"/>
              <w:left w:w="100" w:type="dxa"/>
              <w:bottom w:w="60" w:type="dxa"/>
              <w:right w:w="100" w:type="dxa"/>
            </w:tcMar>
            <w:vAlign w:val="center"/>
          </w:tcPr>
          <w:p w14:paraId="7A7FA203" w14:textId="77777777" w:rsidR="005C4A33" w:rsidRDefault="00000000">
            <w:r>
              <w:rPr>
                <w:b/>
                <w:bCs/>
                <w:sz w:val="18"/>
                <w:szCs w:val="18"/>
              </w:rPr>
              <w:t>Fecha de entrega</w:t>
            </w:r>
          </w:p>
        </w:tc>
        <w:tc>
          <w:tcPr>
            <w:tcW w:w="7146" w:type="dxa"/>
            <w:tcMar>
              <w:top w:w="60" w:type="dxa"/>
              <w:left w:w="100" w:type="dxa"/>
              <w:bottom w:w="60" w:type="dxa"/>
              <w:right w:w="100" w:type="dxa"/>
            </w:tcMar>
            <w:vAlign w:val="center"/>
          </w:tcPr>
          <w:p w14:paraId="0D773E76" w14:textId="77777777" w:rsidR="005C4A33" w:rsidRDefault="005C4A33"/>
        </w:tc>
      </w:tr>
      <w:tr w:rsidR="005C4A33" w14:paraId="58995312" w14:textId="77777777">
        <w:tc>
          <w:tcPr>
            <w:tcW w:w="2600" w:type="dxa"/>
            <w:shd w:val="clear" w:color="auto" w:fill="E7EEF3"/>
            <w:tcMar>
              <w:top w:w="60" w:type="dxa"/>
              <w:left w:w="100" w:type="dxa"/>
              <w:bottom w:w="60" w:type="dxa"/>
              <w:right w:w="100" w:type="dxa"/>
            </w:tcMar>
            <w:vAlign w:val="center"/>
          </w:tcPr>
          <w:p w14:paraId="54129547" w14:textId="77777777" w:rsidR="005C4A33" w:rsidRDefault="00000000">
            <w:r>
              <w:rPr>
                <w:b/>
                <w:bCs/>
                <w:sz w:val="18"/>
                <w:szCs w:val="18"/>
              </w:rPr>
              <w:t>Sistema operativo, versión de Node y de Docker</w:t>
            </w:r>
          </w:p>
        </w:tc>
        <w:tc>
          <w:tcPr>
            <w:tcW w:w="7146" w:type="dxa"/>
            <w:tcMar>
              <w:top w:w="60" w:type="dxa"/>
              <w:left w:w="100" w:type="dxa"/>
              <w:bottom w:w="60" w:type="dxa"/>
              <w:right w:w="100" w:type="dxa"/>
            </w:tcMar>
            <w:vAlign w:val="center"/>
          </w:tcPr>
          <w:p w14:paraId="67F5B7CE" w14:textId="77777777" w:rsidR="005C4A33" w:rsidRDefault="005C4A33"/>
        </w:tc>
      </w:tr>
      <w:tr w:rsidR="005C4A33" w14:paraId="5B08AAF0" w14:textId="77777777">
        <w:tc>
          <w:tcPr>
            <w:tcW w:w="2600" w:type="dxa"/>
            <w:shd w:val="clear" w:color="auto" w:fill="E7EEF3"/>
            <w:tcMar>
              <w:top w:w="60" w:type="dxa"/>
              <w:left w:w="100" w:type="dxa"/>
              <w:bottom w:w="60" w:type="dxa"/>
              <w:right w:w="100" w:type="dxa"/>
            </w:tcMar>
            <w:vAlign w:val="center"/>
          </w:tcPr>
          <w:p w14:paraId="0D14AF56" w14:textId="77777777" w:rsidR="005C4A33" w:rsidRDefault="00000000">
            <w:r>
              <w:rPr>
                <w:b/>
                <w:bCs/>
                <w:sz w:val="18"/>
                <w:szCs w:val="18"/>
              </w:rPr>
              <w:t>Repositorio (URL)</w:t>
            </w:r>
          </w:p>
        </w:tc>
        <w:tc>
          <w:tcPr>
            <w:tcW w:w="7146" w:type="dxa"/>
            <w:tcMar>
              <w:top w:w="60" w:type="dxa"/>
              <w:left w:w="100" w:type="dxa"/>
              <w:bottom w:w="60" w:type="dxa"/>
              <w:right w:w="100" w:type="dxa"/>
            </w:tcMar>
            <w:vAlign w:val="center"/>
          </w:tcPr>
          <w:p w14:paraId="6D9728E4" w14:textId="77777777" w:rsidR="005C4A33" w:rsidRDefault="005C4A33"/>
        </w:tc>
      </w:tr>
    </w:tbl>
    <w:p w14:paraId="7692999E" w14:textId="77777777" w:rsidR="005C4A33" w:rsidRDefault="005C4A33">
      <w:pPr>
        <w:spacing w:after="160"/>
      </w:pPr>
    </w:p>
    <w:tbl>
      <w:tblPr>
        <w:tblW w:w="9746" w:type="dxa"/>
        <w:tblBorders>
          <w:top w:val="single" w:sz="4" w:space="0" w:color="1F8A7A"/>
          <w:left w:val="single" w:sz="18" w:space="0" w:color="1F8A7A"/>
          <w:bottom w:val="single" w:sz="4" w:space="0" w:color="1F8A7A"/>
          <w:right w:val="single" w:sz="4" w:space="0" w:color="1F8A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75FE48A" w14:textId="77777777">
        <w:tc>
          <w:tcPr>
            <w:tcW w:w="9746" w:type="dxa"/>
            <w:shd w:val="clear" w:color="auto" w:fill="F1F5F8"/>
            <w:tcMar>
              <w:top w:w="60" w:type="dxa"/>
              <w:left w:w="100" w:type="dxa"/>
              <w:bottom w:w="60" w:type="dxa"/>
              <w:right w:w="100" w:type="dxa"/>
            </w:tcMar>
            <w:vAlign w:val="center"/>
          </w:tcPr>
          <w:p w14:paraId="711C39D5" w14:textId="77777777" w:rsidR="005C4A33" w:rsidRDefault="00000000">
            <w:pPr>
              <w:spacing w:after="80" w:line="250" w:lineRule="auto"/>
              <w:jc w:val="both"/>
            </w:pPr>
            <w:r>
              <w:rPr>
                <w:b/>
                <w:bCs/>
                <w:color w:val="1F8A7A"/>
              </w:rPr>
              <w:t xml:space="preserve">Cómo se llena: </w:t>
            </w:r>
            <w:r>
              <w:t>Este documento se completa mientras se ejecuta la Parte 1 del enunciado. Cada captura y cada pregunta lleva el mismo número aquí y allá.</w:t>
            </w:r>
          </w:p>
          <w:p w14:paraId="62E38EE5" w14:textId="77777777" w:rsidR="005C4A33" w:rsidRDefault="00000000">
            <w:pPr>
              <w:spacing w:after="80" w:line="250" w:lineRule="auto"/>
              <w:jc w:val="both"/>
            </w:pPr>
            <w:r>
              <w:t>Las capturas deben ser de su propia máquina: debe verse el nombre de usuario o del equipo en la terminal. Recorte solo lo necesario, pero que el comando y su salida se lean con claridad.</w:t>
            </w:r>
          </w:p>
          <w:p w14:paraId="4EEDE465" w14:textId="77777777" w:rsidR="005C4A33" w:rsidRDefault="00000000">
            <w:pPr>
              <w:spacing w:line="250" w:lineRule="auto"/>
              <w:jc w:val="both"/>
            </w:pPr>
            <w:r>
              <w:t>Al terminar, exporte este archivo a PDF y súbalo a la plataforma junto con el enlace del repositorio.</w:t>
            </w:r>
          </w:p>
        </w:tc>
      </w:tr>
    </w:tbl>
    <w:p w14:paraId="54CF408C" w14:textId="77777777" w:rsidR="005C4A33" w:rsidRDefault="00000000">
      <w:pPr>
        <w:pBdr>
          <w:bottom w:val="single" w:sz="6" w:space="3" w:color="D6DEE5"/>
        </w:pBdr>
        <w:spacing w:before="300" w:after="120"/>
      </w:pPr>
      <w:r>
        <w:rPr>
          <w:b/>
          <w:bCs/>
          <w:color w:val="0F3D5C"/>
          <w:sz w:val="24"/>
          <w:szCs w:val="24"/>
        </w:rPr>
        <w:t>Control de avance</w:t>
      </w:r>
    </w:p>
    <w:p w14:paraId="2DEC2077" w14:textId="77777777" w:rsidR="005C4A33" w:rsidRDefault="00000000">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500"/>
        <w:gridCol w:w="1500"/>
        <w:gridCol w:w="1546"/>
      </w:tblGrid>
      <w:tr w:rsidR="005C4A33" w14:paraId="2B7F9B08" w14:textId="77777777">
        <w:trPr>
          <w:tblHeader/>
        </w:trPr>
        <w:tc>
          <w:tcPr>
            <w:tcW w:w="5200" w:type="dxa"/>
            <w:shd w:val="clear" w:color="auto" w:fill="E7EEF3"/>
            <w:tcMar>
              <w:top w:w="60" w:type="dxa"/>
              <w:left w:w="100" w:type="dxa"/>
              <w:bottom w:w="60" w:type="dxa"/>
              <w:right w:w="100" w:type="dxa"/>
            </w:tcMar>
            <w:vAlign w:val="center"/>
          </w:tcPr>
          <w:p w14:paraId="56A63465" w14:textId="77777777" w:rsidR="005C4A33" w:rsidRDefault="00000000">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4134E540" w14:textId="77777777" w:rsidR="005C4A33" w:rsidRDefault="00000000">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254BAAEF" w14:textId="77777777" w:rsidR="005C4A33" w:rsidRDefault="00000000">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62E94EC4" w14:textId="77777777" w:rsidR="005C4A33" w:rsidRDefault="00000000">
            <w:pPr>
              <w:jc w:val="center"/>
            </w:pPr>
            <w:r>
              <w:rPr>
                <w:b/>
                <w:bCs/>
                <w:sz w:val="18"/>
                <w:szCs w:val="18"/>
              </w:rPr>
              <w:t>Completado</w:t>
            </w:r>
          </w:p>
        </w:tc>
      </w:tr>
      <w:tr w:rsidR="005C4A33" w14:paraId="13E34739" w14:textId="77777777">
        <w:tc>
          <w:tcPr>
            <w:tcW w:w="5200" w:type="dxa"/>
            <w:tcMar>
              <w:top w:w="60" w:type="dxa"/>
              <w:left w:w="100" w:type="dxa"/>
              <w:bottom w:w="60" w:type="dxa"/>
              <w:right w:w="100" w:type="dxa"/>
            </w:tcMar>
            <w:vAlign w:val="center"/>
          </w:tcPr>
          <w:p w14:paraId="596B55F9" w14:textId="77777777" w:rsidR="005C4A33" w:rsidRDefault="00000000">
            <w:r>
              <w:rPr>
                <w:sz w:val="18"/>
                <w:szCs w:val="18"/>
              </w:rPr>
              <w:t>Laboratorio 0 — Entorno y proyecto base</w:t>
            </w:r>
          </w:p>
        </w:tc>
        <w:tc>
          <w:tcPr>
            <w:tcW w:w="1500" w:type="dxa"/>
            <w:tcMar>
              <w:top w:w="60" w:type="dxa"/>
              <w:left w:w="100" w:type="dxa"/>
              <w:bottom w:w="60" w:type="dxa"/>
              <w:right w:w="100" w:type="dxa"/>
            </w:tcMar>
            <w:vAlign w:val="center"/>
          </w:tcPr>
          <w:p w14:paraId="05CE2A05" w14:textId="77777777" w:rsidR="005C4A33" w:rsidRDefault="00000000">
            <w:r>
              <w:rPr>
                <w:sz w:val="18"/>
                <w:szCs w:val="18"/>
              </w:rPr>
              <w:t>1, 2, 3</w:t>
            </w:r>
          </w:p>
        </w:tc>
        <w:tc>
          <w:tcPr>
            <w:tcW w:w="1500" w:type="dxa"/>
            <w:tcMar>
              <w:top w:w="60" w:type="dxa"/>
              <w:left w:w="100" w:type="dxa"/>
              <w:bottom w:w="60" w:type="dxa"/>
              <w:right w:w="100" w:type="dxa"/>
            </w:tcMar>
            <w:vAlign w:val="center"/>
          </w:tcPr>
          <w:p w14:paraId="512EBF42" w14:textId="77777777" w:rsidR="005C4A33" w:rsidRDefault="00000000">
            <w:r>
              <w:rPr>
                <w:sz w:val="18"/>
                <w:szCs w:val="18"/>
              </w:rPr>
              <w:t>1</w:t>
            </w:r>
          </w:p>
        </w:tc>
        <w:tc>
          <w:tcPr>
            <w:tcW w:w="1546" w:type="dxa"/>
            <w:tcMar>
              <w:top w:w="60" w:type="dxa"/>
              <w:left w:w="100" w:type="dxa"/>
              <w:bottom w:w="60" w:type="dxa"/>
              <w:right w:w="100" w:type="dxa"/>
            </w:tcMar>
            <w:vAlign w:val="center"/>
          </w:tcPr>
          <w:p w14:paraId="096C1EB9" w14:textId="77777777" w:rsidR="005C4A33" w:rsidRDefault="005C4A33"/>
        </w:tc>
      </w:tr>
      <w:tr w:rsidR="005C4A33" w14:paraId="145EE834" w14:textId="77777777">
        <w:tc>
          <w:tcPr>
            <w:tcW w:w="5200" w:type="dxa"/>
            <w:tcMar>
              <w:top w:w="60" w:type="dxa"/>
              <w:left w:w="100" w:type="dxa"/>
              <w:bottom w:w="60" w:type="dxa"/>
              <w:right w:w="100" w:type="dxa"/>
            </w:tcMar>
            <w:vAlign w:val="center"/>
          </w:tcPr>
          <w:p w14:paraId="11300909" w14:textId="77777777" w:rsidR="005C4A33" w:rsidRDefault="00000000">
            <w:r>
              <w:rPr>
                <w:sz w:val="18"/>
                <w:szCs w:val="18"/>
              </w:rPr>
              <w:t>Laboratorio 1 — Diseño del recurso: rutas, verbos y lo que no es REST</w:t>
            </w:r>
          </w:p>
        </w:tc>
        <w:tc>
          <w:tcPr>
            <w:tcW w:w="1500" w:type="dxa"/>
            <w:tcMar>
              <w:top w:w="60" w:type="dxa"/>
              <w:left w:w="100" w:type="dxa"/>
              <w:bottom w:w="60" w:type="dxa"/>
              <w:right w:w="100" w:type="dxa"/>
            </w:tcMar>
            <w:vAlign w:val="center"/>
          </w:tcPr>
          <w:p w14:paraId="7AD76200" w14:textId="77777777" w:rsidR="005C4A33" w:rsidRDefault="00000000">
            <w:r>
              <w:rPr>
                <w:sz w:val="18"/>
                <w:szCs w:val="18"/>
              </w:rPr>
              <w:t>4, 5</w:t>
            </w:r>
          </w:p>
        </w:tc>
        <w:tc>
          <w:tcPr>
            <w:tcW w:w="1500" w:type="dxa"/>
            <w:tcMar>
              <w:top w:w="60" w:type="dxa"/>
              <w:left w:w="100" w:type="dxa"/>
              <w:bottom w:w="60" w:type="dxa"/>
              <w:right w:w="100" w:type="dxa"/>
            </w:tcMar>
            <w:vAlign w:val="center"/>
          </w:tcPr>
          <w:p w14:paraId="33D7A1FF" w14:textId="77777777" w:rsidR="005C4A33" w:rsidRDefault="00000000">
            <w:r>
              <w:rPr>
                <w:sz w:val="18"/>
                <w:szCs w:val="18"/>
              </w:rPr>
              <w:t>2</w:t>
            </w:r>
          </w:p>
        </w:tc>
        <w:tc>
          <w:tcPr>
            <w:tcW w:w="1546" w:type="dxa"/>
            <w:tcMar>
              <w:top w:w="60" w:type="dxa"/>
              <w:left w:w="100" w:type="dxa"/>
              <w:bottom w:w="60" w:type="dxa"/>
              <w:right w:w="100" w:type="dxa"/>
            </w:tcMar>
            <w:vAlign w:val="center"/>
          </w:tcPr>
          <w:p w14:paraId="726E812F" w14:textId="77777777" w:rsidR="005C4A33" w:rsidRDefault="005C4A33"/>
        </w:tc>
      </w:tr>
      <w:tr w:rsidR="005C4A33" w14:paraId="17EA8E92" w14:textId="77777777">
        <w:tc>
          <w:tcPr>
            <w:tcW w:w="5200" w:type="dxa"/>
            <w:tcMar>
              <w:top w:w="60" w:type="dxa"/>
              <w:left w:w="100" w:type="dxa"/>
              <w:bottom w:w="60" w:type="dxa"/>
              <w:right w:w="100" w:type="dxa"/>
            </w:tcMar>
            <w:vAlign w:val="center"/>
          </w:tcPr>
          <w:p w14:paraId="17FEDDBF" w14:textId="77777777" w:rsidR="005C4A33" w:rsidRDefault="00000000">
            <w:r>
              <w:rPr>
                <w:sz w:val="18"/>
                <w:szCs w:val="18"/>
              </w:rPr>
              <w:t>Laboratorio 2 — CRUD completo con los códigos de estado correctos</w:t>
            </w:r>
          </w:p>
        </w:tc>
        <w:tc>
          <w:tcPr>
            <w:tcW w:w="1500" w:type="dxa"/>
            <w:tcMar>
              <w:top w:w="60" w:type="dxa"/>
              <w:left w:w="100" w:type="dxa"/>
              <w:bottom w:w="60" w:type="dxa"/>
              <w:right w:w="100" w:type="dxa"/>
            </w:tcMar>
            <w:vAlign w:val="center"/>
          </w:tcPr>
          <w:p w14:paraId="278DAD79" w14:textId="77777777" w:rsidR="005C4A33" w:rsidRDefault="00000000">
            <w:r>
              <w:rPr>
                <w:sz w:val="18"/>
                <w:szCs w:val="18"/>
              </w:rPr>
              <w:t>6, 7, 8</w:t>
            </w:r>
          </w:p>
        </w:tc>
        <w:tc>
          <w:tcPr>
            <w:tcW w:w="1500" w:type="dxa"/>
            <w:tcMar>
              <w:top w:w="60" w:type="dxa"/>
              <w:left w:w="100" w:type="dxa"/>
              <w:bottom w:w="60" w:type="dxa"/>
              <w:right w:w="100" w:type="dxa"/>
            </w:tcMar>
            <w:vAlign w:val="center"/>
          </w:tcPr>
          <w:p w14:paraId="0144C092" w14:textId="77777777" w:rsidR="005C4A33" w:rsidRDefault="00000000">
            <w:r>
              <w:rPr>
                <w:sz w:val="18"/>
                <w:szCs w:val="18"/>
              </w:rPr>
              <w:t>3</w:t>
            </w:r>
          </w:p>
        </w:tc>
        <w:tc>
          <w:tcPr>
            <w:tcW w:w="1546" w:type="dxa"/>
            <w:tcMar>
              <w:top w:w="60" w:type="dxa"/>
              <w:left w:w="100" w:type="dxa"/>
              <w:bottom w:w="60" w:type="dxa"/>
              <w:right w:w="100" w:type="dxa"/>
            </w:tcMar>
            <w:vAlign w:val="center"/>
          </w:tcPr>
          <w:p w14:paraId="459C4AB3" w14:textId="77777777" w:rsidR="005C4A33" w:rsidRDefault="005C4A33"/>
        </w:tc>
      </w:tr>
      <w:tr w:rsidR="005C4A33" w14:paraId="0FDBCC3C" w14:textId="77777777">
        <w:tc>
          <w:tcPr>
            <w:tcW w:w="5200" w:type="dxa"/>
            <w:tcMar>
              <w:top w:w="60" w:type="dxa"/>
              <w:left w:w="100" w:type="dxa"/>
              <w:bottom w:w="60" w:type="dxa"/>
              <w:right w:w="100" w:type="dxa"/>
            </w:tcMar>
            <w:vAlign w:val="center"/>
          </w:tcPr>
          <w:p w14:paraId="1C6C384E" w14:textId="77777777" w:rsidR="005C4A33" w:rsidRDefault="00000000">
            <w:r>
              <w:rPr>
                <w:sz w:val="18"/>
                <w:szCs w:val="18"/>
              </w:rPr>
              <w:t>Laboratorio 3 — Validación de entrada y errores con formato uniforme</w:t>
            </w:r>
          </w:p>
        </w:tc>
        <w:tc>
          <w:tcPr>
            <w:tcW w:w="1500" w:type="dxa"/>
            <w:tcMar>
              <w:top w:w="60" w:type="dxa"/>
              <w:left w:w="100" w:type="dxa"/>
              <w:bottom w:w="60" w:type="dxa"/>
              <w:right w:w="100" w:type="dxa"/>
            </w:tcMar>
            <w:vAlign w:val="center"/>
          </w:tcPr>
          <w:p w14:paraId="7EB8C3D3" w14:textId="77777777" w:rsidR="005C4A33" w:rsidRDefault="00000000">
            <w:r>
              <w:rPr>
                <w:sz w:val="18"/>
                <w:szCs w:val="18"/>
              </w:rPr>
              <w:t>9, 10, 11</w:t>
            </w:r>
          </w:p>
        </w:tc>
        <w:tc>
          <w:tcPr>
            <w:tcW w:w="1500" w:type="dxa"/>
            <w:tcMar>
              <w:top w:w="60" w:type="dxa"/>
              <w:left w:w="100" w:type="dxa"/>
              <w:bottom w:w="60" w:type="dxa"/>
              <w:right w:w="100" w:type="dxa"/>
            </w:tcMar>
            <w:vAlign w:val="center"/>
          </w:tcPr>
          <w:p w14:paraId="113D7E66" w14:textId="77777777" w:rsidR="005C4A33" w:rsidRDefault="00000000">
            <w:r>
              <w:rPr>
                <w:sz w:val="18"/>
                <w:szCs w:val="18"/>
              </w:rPr>
              <w:t>4</w:t>
            </w:r>
          </w:p>
        </w:tc>
        <w:tc>
          <w:tcPr>
            <w:tcW w:w="1546" w:type="dxa"/>
            <w:tcMar>
              <w:top w:w="60" w:type="dxa"/>
              <w:left w:w="100" w:type="dxa"/>
              <w:bottom w:w="60" w:type="dxa"/>
              <w:right w:w="100" w:type="dxa"/>
            </w:tcMar>
            <w:vAlign w:val="center"/>
          </w:tcPr>
          <w:p w14:paraId="7F26D58F" w14:textId="77777777" w:rsidR="005C4A33" w:rsidRDefault="005C4A33"/>
        </w:tc>
      </w:tr>
      <w:tr w:rsidR="005C4A33" w14:paraId="007602B2" w14:textId="77777777">
        <w:tc>
          <w:tcPr>
            <w:tcW w:w="5200" w:type="dxa"/>
            <w:tcMar>
              <w:top w:w="60" w:type="dxa"/>
              <w:left w:w="100" w:type="dxa"/>
              <w:bottom w:w="60" w:type="dxa"/>
              <w:right w:w="100" w:type="dxa"/>
            </w:tcMar>
            <w:vAlign w:val="center"/>
          </w:tcPr>
          <w:p w14:paraId="7E36C1E1" w14:textId="77777777" w:rsidR="005C4A33" w:rsidRDefault="00000000">
            <w:r>
              <w:rPr>
                <w:sz w:val="18"/>
                <w:szCs w:val="18"/>
              </w:rPr>
              <w:t>Laboratorio 4 — Persistencia con MongoDB en contenedor y configuración por entorno</w:t>
            </w:r>
          </w:p>
        </w:tc>
        <w:tc>
          <w:tcPr>
            <w:tcW w:w="1500" w:type="dxa"/>
            <w:tcMar>
              <w:top w:w="60" w:type="dxa"/>
              <w:left w:w="100" w:type="dxa"/>
              <w:bottom w:w="60" w:type="dxa"/>
              <w:right w:w="100" w:type="dxa"/>
            </w:tcMar>
            <w:vAlign w:val="center"/>
          </w:tcPr>
          <w:p w14:paraId="15B8DBC3" w14:textId="77777777" w:rsidR="005C4A33" w:rsidRDefault="00000000">
            <w:r>
              <w:rPr>
                <w:sz w:val="18"/>
                <w:szCs w:val="18"/>
              </w:rPr>
              <w:t>12, 13</w:t>
            </w:r>
          </w:p>
        </w:tc>
        <w:tc>
          <w:tcPr>
            <w:tcW w:w="1500" w:type="dxa"/>
            <w:tcMar>
              <w:top w:w="60" w:type="dxa"/>
              <w:left w:w="100" w:type="dxa"/>
              <w:bottom w:w="60" w:type="dxa"/>
              <w:right w:w="100" w:type="dxa"/>
            </w:tcMar>
            <w:vAlign w:val="center"/>
          </w:tcPr>
          <w:p w14:paraId="6FD3879A" w14:textId="77777777" w:rsidR="005C4A33" w:rsidRDefault="00000000">
            <w:r>
              <w:rPr>
                <w:sz w:val="18"/>
                <w:szCs w:val="18"/>
              </w:rPr>
              <w:t>5</w:t>
            </w:r>
          </w:p>
        </w:tc>
        <w:tc>
          <w:tcPr>
            <w:tcW w:w="1546" w:type="dxa"/>
            <w:tcMar>
              <w:top w:w="60" w:type="dxa"/>
              <w:left w:w="100" w:type="dxa"/>
              <w:bottom w:w="60" w:type="dxa"/>
              <w:right w:w="100" w:type="dxa"/>
            </w:tcMar>
            <w:vAlign w:val="center"/>
          </w:tcPr>
          <w:p w14:paraId="21060EE4" w14:textId="77777777" w:rsidR="005C4A33" w:rsidRDefault="005C4A33"/>
        </w:tc>
      </w:tr>
      <w:tr w:rsidR="005C4A33" w14:paraId="79C3E085" w14:textId="77777777">
        <w:tc>
          <w:tcPr>
            <w:tcW w:w="5200" w:type="dxa"/>
            <w:tcMar>
              <w:top w:w="60" w:type="dxa"/>
              <w:left w:w="100" w:type="dxa"/>
              <w:bottom w:w="60" w:type="dxa"/>
              <w:right w:w="100" w:type="dxa"/>
            </w:tcMar>
            <w:vAlign w:val="center"/>
          </w:tcPr>
          <w:p w14:paraId="4A520D2D" w14:textId="77777777" w:rsidR="005C4A33" w:rsidRDefault="00000000">
            <w:r>
              <w:rPr>
                <w:sz w:val="18"/>
                <w:szCs w:val="18"/>
              </w:rPr>
              <w:t>Laboratorio 5 — Colecciones grandes: paginación, filtrado y ordenamiento</w:t>
            </w:r>
          </w:p>
        </w:tc>
        <w:tc>
          <w:tcPr>
            <w:tcW w:w="1500" w:type="dxa"/>
            <w:tcMar>
              <w:top w:w="60" w:type="dxa"/>
              <w:left w:w="100" w:type="dxa"/>
              <w:bottom w:w="60" w:type="dxa"/>
              <w:right w:w="100" w:type="dxa"/>
            </w:tcMar>
            <w:vAlign w:val="center"/>
          </w:tcPr>
          <w:p w14:paraId="48D05F20" w14:textId="77777777" w:rsidR="005C4A33" w:rsidRDefault="00000000">
            <w:r>
              <w:rPr>
                <w:sz w:val="18"/>
                <w:szCs w:val="18"/>
              </w:rPr>
              <w:t>14, 15</w:t>
            </w:r>
          </w:p>
        </w:tc>
        <w:tc>
          <w:tcPr>
            <w:tcW w:w="1500" w:type="dxa"/>
            <w:tcMar>
              <w:top w:w="60" w:type="dxa"/>
              <w:left w:w="100" w:type="dxa"/>
              <w:bottom w:w="60" w:type="dxa"/>
              <w:right w:w="100" w:type="dxa"/>
            </w:tcMar>
            <w:vAlign w:val="center"/>
          </w:tcPr>
          <w:p w14:paraId="7CDE2384" w14:textId="77777777" w:rsidR="005C4A33" w:rsidRDefault="00000000">
            <w:r>
              <w:rPr>
                <w:sz w:val="18"/>
                <w:szCs w:val="18"/>
              </w:rPr>
              <w:t>6</w:t>
            </w:r>
          </w:p>
        </w:tc>
        <w:tc>
          <w:tcPr>
            <w:tcW w:w="1546" w:type="dxa"/>
            <w:tcMar>
              <w:top w:w="60" w:type="dxa"/>
              <w:left w:w="100" w:type="dxa"/>
              <w:bottom w:w="60" w:type="dxa"/>
              <w:right w:w="100" w:type="dxa"/>
            </w:tcMar>
            <w:vAlign w:val="center"/>
          </w:tcPr>
          <w:p w14:paraId="7105776F" w14:textId="77777777" w:rsidR="005C4A33" w:rsidRDefault="005C4A33"/>
        </w:tc>
      </w:tr>
      <w:tr w:rsidR="005C4A33" w14:paraId="2108CAD1" w14:textId="77777777">
        <w:tc>
          <w:tcPr>
            <w:tcW w:w="5200" w:type="dxa"/>
            <w:tcMar>
              <w:top w:w="60" w:type="dxa"/>
              <w:left w:w="100" w:type="dxa"/>
              <w:bottom w:w="60" w:type="dxa"/>
              <w:right w:w="100" w:type="dxa"/>
            </w:tcMar>
            <w:vAlign w:val="center"/>
          </w:tcPr>
          <w:p w14:paraId="6A89509D" w14:textId="77777777" w:rsidR="005C4A33" w:rsidRDefault="00000000">
            <w:r>
              <w:rPr>
                <w:sz w:val="18"/>
                <w:szCs w:val="18"/>
              </w:rPr>
              <w:t xml:space="preserve">Laboratorio 6 — Versionado, contrato </w:t>
            </w:r>
            <w:proofErr w:type="spellStart"/>
            <w:r>
              <w:rPr>
                <w:sz w:val="18"/>
                <w:szCs w:val="18"/>
              </w:rPr>
              <w:t>OpenAPI</w:t>
            </w:r>
            <w:proofErr w:type="spellEnd"/>
            <w:r>
              <w:rPr>
                <w:sz w:val="18"/>
                <w:szCs w:val="18"/>
              </w:rPr>
              <w:t xml:space="preserve"> y empaquetado con Docker </w:t>
            </w:r>
            <w:proofErr w:type="spellStart"/>
            <w:r>
              <w:rPr>
                <w:sz w:val="18"/>
                <w:szCs w:val="18"/>
              </w:rPr>
              <w:t>Compose</w:t>
            </w:r>
            <w:proofErr w:type="spellEnd"/>
          </w:p>
        </w:tc>
        <w:tc>
          <w:tcPr>
            <w:tcW w:w="1500" w:type="dxa"/>
            <w:tcMar>
              <w:top w:w="60" w:type="dxa"/>
              <w:left w:w="100" w:type="dxa"/>
              <w:bottom w:w="60" w:type="dxa"/>
              <w:right w:w="100" w:type="dxa"/>
            </w:tcMar>
            <w:vAlign w:val="center"/>
          </w:tcPr>
          <w:p w14:paraId="30E69271" w14:textId="77777777" w:rsidR="005C4A33" w:rsidRDefault="00000000">
            <w:r>
              <w:rPr>
                <w:sz w:val="18"/>
                <w:szCs w:val="18"/>
              </w:rPr>
              <w:t>16, 17, 18</w:t>
            </w:r>
          </w:p>
        </w:tc>
        <w:tc>
          <w:tcPr>
            <w:tcW w:w="1500" w:type="dxa"/>
            <w:tcMar>
              <w:top w:w="60" w:type="dxa"/>
              <w:left w:w="100" w:type="dxa"/>
              <w:bottom w:w="60" w:type="dxa"/>
              <w:right w:w="100" w:type="dxa"/>
            </w:tcMar>
            <w:vAlign w:val="center"/>
          </w:tcPr>
          <w:p w14:paraId="188CD91D" w14:textId="77777777" w:rsidR="005C4A33" w:rsidRDefault="00000000">
            <w:r>
              <w:rPr>
                <w:sz w:val="18"/>
                <w:szCs w:val="18"/>
              </w:rPr>
              <w:t>7, 8</w:t>
            </w:r>
          </w:p>
        </w:tc>
        <w:tc>
          <w:tcPr>
            <w:tcW w:w="1546" w:type="dxa"/>
            <w:tcMar>
              <w:top w:w="60" w:type="dxa"/>
              <w:left w:w="100" w:type="dxa"/>
              <w:bottom w:w="60" w:type="dxa"/>
              <w:right w:w="100" w:type="dxa"/>
            </w:tcMar>
            <w:vAlign w:val="center"/>
          </w:tcPr>
          <w:p w14:paraId="6E71DBC3" w14:textId="77777777" w:rsidR="005C4A33" w:rsidRDefault="005C4A33"/>
        </w:tc>
      </w:tr>
    </w:tbl>
    <w:p w14:paraId="69597AE1" w14:textId="77777777" w:rsidR="005C4A33" w:rsidRDefault="00000000">
      <w:pPr>
        <w:pBdr>
          <w:top w:val="single" w:sz="12" w:space="6" w:color="1F8A7A"/>
          <w:bottom w:val="single" w:sz="12" w:space="6" w:color="1F8A7A"/>
        </w:pBdr>
        <w:spacing w:before="300" w:after="140"/>
        <w:jc w:val="center"/>
      </w:pPr>
      <w:r>
        <w:rPr>
          <w:b/>
          <w:bCs/>
          <w:color w:val="1F8A7A"/>
          <w:sz w:val="24"/>
          <w:szCs w:val="24"/>
        </w:rPr>
        <w:t>PARTE 1 — EVIDENCIAS DE LOS LABORATORIOS</w:t>
      </w:r>
    </w:p>
    <w:p w14:paraId="28CC0A78" w14:textId="77777777" w:rsidR="005C4A33" w:rsidRDefault="00000000">
      <w:pPr>
        <w:pBdr>
          <w:bottom w:val="single" w:sz="6" w:space="3" w:color="D6DEE5"/>
        </w:pBdr>
        <w:spacing w:before="300" w:after="120"/>
      </w:pPr>
      <w:r>
        <w:rPr>
          <w:b/>
          <w:bCs/>
          <w:color w:val="0F3D5C"/>
          <w:sz w:val="24"/>
          <w:szCs w:val="24"/>
        </w:rPr>
        <w:t>Laboratorio 0 — Entorno y proyecto base</w:t>
      </w:r>
    </w:p>
    <w:p w14:paraId="36BA5351" w14:textId="77777777" w:rsidR="005C4A33" w:rsidRDefault="00000000">
      <w:pPr>
        <w:spacing w:after="80" w:line="260" w:lineRule="auto"/>
        <w:jc w:val="both"/>
      </w:pPr>
      <w:r>
        <w:rPr>
          <w:b/>
          <w:bCs/>
          <w:color w:val="1F8A7A"/>
        </w:rPr>
        <w:t xml:space="preserve">Captura N.º 1: </w:t>
      </w:r>
      <w:r>
        <w:t>salida de los cuatro comandos anteriores en su terminal.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EA6E6BB" w14:textId="77777777">
        <w:trPr>
          <w:trHeight w:val="2100"/>
        </w:trPr>
        <w:tc>
          <w:tcPr>
            <w:tcW w:w="9746" w:type="dxa"/>
            <w:tcMar>
              <w:top w:w="60" w:type="dxa"/>
              <w:left w:w="100" w:type="dxa"/>
              <w:bottom w:w="60" w:type="dxa"/>
              <w:right w:w="100" w:type="dxa"/>
            </w:tcMar>
            <w:vAlign w:val="center"/>
          </w:tcPr>
          <w:p w14:paraId="251B2D55"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03EE470A" w14:textId="77777777" w:rsidR="005C4A33" w:rsidRDefault="005C4A33">
      <w:pPr>
        <w:spacing w:after="160"/>
      </w:pPr>
    </w:p>
    <w:p w14:paraId="6727F976"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1. </w:t>
      </w:r>
      <w:r>
        <w:rPr>
          <w:b/>
          <w:bCs/>
        </w:rPr>
        <w:t xml:space="preserve">La Práctica 1 trabajó MongoDB desde el </w:t>
      </w:r>
      <w:proofErr w:type="spellStart"/>
      <w:r>
        <w:rPr>
          <w:b/>
          <w:bCs/>
        </w:rPr>
        <w:t>shell</w:t>
      </w:r>
      <w:proofErr w:type="spellEnd"/>
      <w:r>
        <w:rPr>
          <w:b/>
          <w:bCs/>
        </w:rPr>
        <w:t xml:space="preserve"> y la Práctica 2 empaquetó una API con Docker. ¿Qué agrega esta práctica que ninguna de las dos resolvía todavía?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48AC17A3" w14:textId="77777777">
        <w:trPr>
          <w:trHeight w:val="1400"/>
        </w:trPr>
        <w:tc>
          <w:tcPr>
            <w:tcW w:w="9746" w:type="dxa"/>
            <w:tcMar>
              <w:top w:w="60" w:type="dxa"/>
              <w:left w:w="100" w:type="dxa"/>
              <w:bottom w:w="60" w:type="dxa"/>
              <w:right w:w="100" w:type="dxa"/>
            </w:tcMar>
            <w:vAlign w:val="center"/>
          </w:tcPr>
          <w:p w14:paraId="039A11DE" w14:textId="77777777" w:rsidR="00BC6257" w:rsidRDefault="00000000">
            <w:r>
              <w:t>Agrega el diseño formal y estandarizado de la capa de comunicación y contrato del servicio (estilo REST). En las prácticas anteriores los clientes llamaban a la base o a endpoints ad-hoc sin reglas semánticas. Esta práctica establece: recursos modelados como sustantivos, uso semántico de verbos HTTP, códigos de estado HTTP estándar (en vez de responder 200 a todo), validación de entrada antes de persistir, formato de error único y predecible, paginación/filtrado para proteger la memoria, versionado (/v1) y especificación OpenAPI interactiva.</w:t>
            </w:r>
          </w:p>
        </w:tc>
      </w:tr>
    </w:tbl>
    <w:p w14:paraId="0D13A594" w14:textId="77777777" w:rsidR="005C4A33" w:rsidRDefault="005C4A33">
      <w:pPr>
        <w:spacing w:after="160"/>
      </w:pPr>
    </w:p>
    <w:p w14:paraId="45C3DEAE" w14:textId="77777777" w:rsidR="005C4A33" w:rsidRDefault="00000000">
      <w:pPr>
        <w:spacing w:after="80" w:line="260" w:lineRule="auto"/>
        <w:jc w:val="both"/>
      </w:pPr>
      <w:r>
        <w:rPr>
          <w:b/>
          <w:bCs/>
          <w:color w:val="1F8A7A"/>
        </w:rPr>
        <w:t xml:space="preserve">Captura N.º 2: </w:t>
      </w:r>
      <w:r>
        <w:t xml:space="preserve">salida de </w:t>
      </w:r>
      <w:proofErr w:type="spellStart"/>
      <w:r>
        <w:t>docker</w:t>
      </w:r>
      <w:proofErr w:type="spellEnd"/>
      <w:r>
        <w:t xml:space="preserve"> </w:t>
      </w:r>
      <w:proofErr w:type="spellStart"/>
      <w:r>
        <w:t>ps</w:t>
      </w:r>
      <w:proofErr w:type="spellEnd"/>
      <w:r>
        <w:t xml:space="preserve"> mostrando el contenedor mongo-practica3 en estado Up.</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42B70F67" w14:textId="77777777">
        <w:trPr>
          <w:trHeight w:val="2100"/>
        </w:trPr>
        <w:tc>
          <w:tcPr>
            <w:tcW w:w="9746" w:type="dxa"/>
            <w:tcMar>
              <w:top w:w="60" w:type="dxa"/>
              <w:left w:w="100" w:type="dxa"/>
              <w:bottom w:w="60" w:type="dxa"/>
              <w:right w:w="100" w:type="dxa"/>
            </w:tcMar>
            <w:vAlign w:val="center"/>
          </w:tcPr>
          <w:p w14:paraId="064290BB"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03D6C879" w14:textId="77777777" w:rsidR="005C4A33" w:rsidRDefault="005C4A33">
      <w:pPr>
        <w:spacing w:after="160"/>
      </w:pPr>
    </w:p>
    <w:p w14:paraId="61D58C91" w14:textId="77777777" w:rsidR="005C4A33" w:rsidRDefault="00000000">
      <w:pPr>
        <w:spacing w:after="80" w:line="260" w:lineRule="auto"/>
        <w:jc w:val="both"/>
      </w:pPr>
      <w:r>
        <w:rPr>
          <w:b/>
          <w:bCs/>
          <w:color w:val="1F8A7A"/>
        </w:rPr>
        <w:t xml:space="preserve">Captura N.º 3: </w:t>
      </w:r>
      <w:r>
        <w:t xml:space="preserve">salida de </w:t>
      </w:r>
      <w:proofErr w:type="spellStart"/>
      <w:r>
        <w:t>curl</w:t>
      </w:r>
      <w:proofErr w:type="spellEnd"/>
      <w:r>
        <w:t xml:space="preserve"> -i http://localhost:3000/salud, donde se lea la línea HTTP/1.1 200 OK y el cuerpo JSON.</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086F89F2" w14:textId="77777777">
        <w:trPr>
          <w:trHeight w:val="2100"/>
        </w:trPr>
        <w:tc>
          <w:tcPr>
            <w:tcW w:w="9746" w:type="dxa"/>
            <w:tcMar>
              <w:top w:w="60" w:type="dxa"/>
              <w:left w:w="100" w:type="dxa"/>
              <w:bottom w:w="60" w:type="dxa"/>
              <w:right w:w="100" w:type="dxa"/>
            </w:tcMar>
            <w:vAlign w:val="center"/>
          </w:tcPr>
          <w:p w14:paraId="587E82DF"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3A0BAFBA" w14:textId="77777777" w:rsidR="005C4A33" w:rsidRDefault="005C4A33">
      <w:pPr>
        <w:spacing w:after="160"/>
      </w:pPr>
    </w:p>
    <w:p w14:paraId="6D614FDB" w14:textId="77777777" w:rsidR="005C4A33" w:rsidRDefault="00000000">
      <w:pPr>
        <w:pBdr>
          <w:bottom w:val="single" w:sz="6" w:space="3" w:color="D6DEE5"/>
        </w:pBdr>
        <w:spacing w:before="300" w:after="120"/>
      </w:pPr>
      <w:r>
        <w:rPr>
          <w:b/>
          <w:bCs/>
          <w:color w:val="0F3D5C"/>
          <w:sz w:val="24"/>
          <w:szCs w:val="24"/>
        </w:rPr>
        <w:t>Laboratorio 1 — Diseño del recurso: rutas, verbos y lo que no es REST</w:t>
      </w:r>
    </w:p>
    <w:p w14:paraId="494163DE" w14:textId="77777777" w:rsidR="005C4A33" w:rsidRDefault="00000000">
      <w:pPr>
        <w:spacing w:after="80" w:line="260" w:lineRule="auto"/>
        <w:jc w:val="both"/>
      </w:pPr>
      <w:r>
        <w:rPr>
          <w:b/>
          <w:bCs/>
          <w:color w:val="1F8A7A"/>
        </w:rPr>
        <w:t xml:space="preserve">Captura N.º 4: </w:t>
      </w:r>
      <w:r>
        <w:t xml:space="preserve">salida de </w:t>
      </w:r>
      <w:proofErr w:type="spellStart"/>
      <w:r>
        <w:t>curl</w:t>
      </w:r>
      <w:proofErr w:type="spellEnd"/>
      <w:r>
        <w:t xml:space="preserve"> -i http://localhost:3000/usuarios mostrando el 200 y los dos usuarios en JSON.</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7B072AFA" w14:textId="77777777">
        <w:trPr>
          <w:trHeight w:val="2100"/>
        </w:trPr>
        <w:tc>
          <w:tcPr>
            <w:tcW w:w="9746" w:type="dxa"/>
            <w:tcMar>
              <w:top w:w="60" w:type="dxa"/>
              <w:left w:w="100" w:type="dxa"/>
              <w:bottom w:w="60" w:type="dxa"/>
              <w:right w:w="100" w:type="dxa"/>
            </w:tcMar>
            <w:vAlign w:val="center"/>
          </w:tcPr>
          <w:p w14:paraId="6CA11749"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5D08A28B" w14:textId="77777777" w:rsidR="005C4A33" w:rsidRDefault="005C4A33">
      <w:pPr>
        <w:spacing w:after="160"/>
      </w:pPr>
    </w:p>
    <w:p w14:paraId="2F5093BA" w14:textId="77777777" w:rsidR="005C4A33" w:rsidRDefault="00000000">
      <w:pPr>
        <w:spacing w:after="80" w:line="260" w:lineRule="auto"/>
        <w:jc w:val="both"/>
      </w:pPr>
      <w:r>
        <w:rPr>
          <w:b/>
          <w:bCs/>
          <w:color w:val="1F8A7A"/>
        </w:rPr>
        <w:t xml:space="preserve">Captura N.º 5: </w:t>
      </w:r>
      <w:r>
        <w:t xml:space="preserve">las dos salidas de </w:t>
      </w:r>
      <w:proofErr w:type="spellStart"/>
      <w:r>
        <w:t>curl</w:t>
      </w:r>
      <w:proofErr w:type="spellEnd"/>
      <w:r>
        <w:t xml:space="preserve"> -i: la ruta correcta con 200 y la ruta inexistente con 404.</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0AFF5C7" w14:textId="77777777">
        <w:trPr>
          <w:trHeight w:val="2100"/>
        </w:trPr>
        <w:tc>
          <w:tcPr>
            <w:tcW w:w="9746" w:type="dxa"/>
            <w:tcMar>
              <w:top w:w="60" w:type="dxa"/>
              <w:left w:w="100" w:type="dxa"/>
              <w:bottom w:w="60" w:type="dxa"/>
              <w:right w:w="100" w:type="dxa"/>
            </w:tcMar>
            <w:vAlign w:val="center"/>
          </w:tcPr>
          <w:p w14:paraId="41400942"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0974B41B" w14:textId="77777777" w:rsidR="005C4A33" w:rsidRDefault="005C4A33">
      <w:pPr>
        <w:spacing w:after="160"/>
      </w:pPr>
    </w:p>
    <w:p w14:paraId="5D2E16FF"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2. </w:t>
      </w:r>
      <w:r>
        <w:rPr>
          <w:b/>
          <w:bCs/>
        </w:rPr>
        <w:t>La guía anterior de la materia usaba rutas como /</w:t>
      </w:r>
      <w:proofErr w:type="spellStart"/>
      <w:r>
        <w:rPr>
          <w:b/>
          <w:bCs/>
        </w:rPr>
        <w:t>crearUsuario</w:t>
      </w:r>
      <w:proofErr w:type="spellEnd"/>
      <w:r>
        <w:rPr>
          <w:b/>
          <w:bCs/>
        </w:rPr>
        <w:t xml:space="preserve"> y /</w:t>
      </w:r>
      <w:proofErr w:type="spellStart"/>
      <w:r>
        <w:rPr>
          <w:b/>
          <w:bCs/>
        </w:rPr>
        <w:t>borrarUsuario</w:t>
      </w:r>
      <w:proofErr w:type="spellEnd"/>
      <w:r>
        <w:rPr>
          <w:b/>
          <w:bCs/>
        </w:rPr>
        <w:t>. Elija dos de ellas, reescríbalas en estilo REST y explique qué problema concreto evita el cambio para quien consume la API desde otro microservicio.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2A765020" w14:textId="77777777">
        <w:trPr>
          <w:trHeight w:val="1400"/>
        </w:trPr>
        <w:tc>
          <w:tcPr>
            <w:tcW w:w="9746" w:type="dxa"/>
            <w:tcMar>
              <w:top w:w="60" w:type="dxa"/>
              <w:left w:w="100" w:type="dxa"/>
              <w:bottom w:w="60" w:type="dxa"/>
              <w:right w:w="100" w:type="dxa"/>
            </w:tcMar>
            <w:vAlign w:val="center"/>
          </w:tcPr>
          <w:p w14:paraId="4C350E67" w14:textId="77777777" w:rsidR="00BC6257" w:rsidRDefault="00000000">
            <w:r>
              <w:t>1) /crearUsuario se reescribe como POST /usuarios.</w:t>
            </w:r>
            <w:r>
              <w:br/>
              <w:t>2) /borrarUsuario?id=7 se reescribe como DELETE /usuarios/7.</w:t>
            </w:r>
            <w:r>
              <w:br/>
              <w:t>Problema que evita: Elimina el acoplamiento a nombres de función arbitrarios (RPC). En REST el cliente usa métodos HTTP estándar (POST, DELETE) y URLs predecibles, permitiendo que proxies, API Gateways y cachés reconozcan automáticamente la operación sin necesidad de contratos propietarios por cada microservicio.</w:t>
            </w:r>
          </w:p>
        </w:tc>
      </w:tr>
    </w:tbl>
    <w:p w14:paraId="17EC92C6" w14:textId="77777777" w:rsidR="005C4A33" w:rsidRDefault="005C4A33">
      <w:pPr>
        <w:spacing w:after="160"/>
      </w:pPr>
    </w:p>
    <w:p w14:paraId="69C783C7" w14:textId="77777777" w:rsidR="005C4A33" w:rsidRDefault="00000000">
      <w:pPr>
        <w:pBdr>
          <w:bottom w:val="single" w:sz="6" w:space="3" w:color="D6DEE5"/>
        </w:pBdr>
        <w:spacing w:before="300" w:after="120"/>
      </w:pPr>
      <w:r>
        <w:rPr>
          <w:b/>
          <w:bCs/>
          <w:color w:val="0F3D5C"/>
          <w:sz w:val="24"/>
          <w:szCs w:val="24"/>
        </w:rPr>
        <w:t>Laboratorio 2 — CRUD completo con los códigos de estado correctos</w:t>
      </w:r>
    </w:p>
    <w:p w14:paraId="26175EEF" w14:textId="77777777" w:rsidR="005C4A33" w:rsidRDefault="00000000">
      <w:pPr>
        <w:spacing w:after="80" w:line="260" w:lineRule="auto"/>
        <w:jc w:val="both"/>
      </w:pPr>
      <w:r>
        <w:rPr>
          <w:b/>
          <w:bCs/>
          <w:color w:val="1F8A7A"/>
        </w:rPr>
        <w:t xml:space="preserve">Captura N.º 6: </w:t>
      </w:r>
      <w:r>
        <w:t xml:space="preserve">salida de </w:t>
      </w:r>
      <w:proofErr w:type="spellStart"/>
      <w:r>
        <w:t>curl</w:t>
      </w:r>
      <w:proofErr w:type="spellEnd"/>
      <w:r>
        <w:t xml:space="preserve"> -i del POST mostrando HTTP/1.1 201 </w:t>
      </w:r>
      <w:proofErr w:type="spellStart"/>
      <w:r>
        <w:t>Created</w:t>
      </w:r>
      <w:proofErr w:type="spellEnd"/>
      <w:r>
        <w:t xml:space="preserve"> y la cabecera </w:t>
      </w:r>
      <w:proofErr w:type="spellStart"/>
      <w:r>
        <w:t>Location</w:t>
      </w:r>
      <w:proofErr w:type="spellEnd"/>
      <w:r>
        <w:t xml:space="preserve"> con la URL del nuevo usuario.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7B11D200" w14:textId="77777777">
        <w:trPr>
          <w:trHeight w:val="2100"/>
        </w:trPr>
        <w:tc>
          <w:tcPr>
            <w:tcW w:w="9746" w:type="dxa"/>
            <w:tcMar>
              <w:top w:w="60" w:type="dxa"/>
              <w:left w:w="100" w:type="dxa"/>
              <w:bottom w:w="60" w:type="dxa"/>
              <w:right w:w="100" w:type="dxa"/>
            </w:tcMar>
            <w:vAlign w:val="center"/>
          </w:tcPr>
          <w:p w14:paraId="69A1B10B"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75B2567D" w14:textId="77777777" w:rsidR="005C4A33" w:rsidRDefault="005C4A33">
      <w:pPr>
        <w:spacing w:after="160"/>
      </w:pPr>
    </w:p>
    <w:p w14:paraId="55ACE96D" w14:textId="77777777" w:rsidR="005C4A33" w:rsidRDefault="00000000">
      <w:pPr>
        <w:spacing w:after="80" w:line="260" w:lineRule="auto"/>
        <w:jc w:val="both"/>
      </w:pPr>
      <w:r>
        <w:rPr>
          <w:b/>
          <w:bCs/>
          <w:color w:val="1F8A7A"/>
        </w:rPr>
        <w:t xml:space="preserve">Captura N.º 7: </w:t>
      </w:r>
      <w:r>
        <w:t xml:space="preserve">las dos salidas de </w:t>
      </w:r>
      <w:proofErr w:type="spellStart"/>
      <w:r>
        <w:t>curl</w:t>
      </w:r>
      <w:proofErr w:type="spellEnd"/>
      <w:r>
        <w:t xml:space="preserve"> -i: el usuario existente con 200 y el inexistente con 404.</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0A9F9A2" w14:textId="77777777">
        <w:trPr>
          <w:trHeight w:val="2100"/>
        </w:trPr>
        <w:tc>
          <w:tcPr>
            <w:tcW w:w="9746" w:type="dxa"/>
            <w:tcMar>
              <w:top w:w="60" w:type="dxa"/>
              <w:left w:w="100" w:type="dxa"/>
              <w:bottom w:w="60" w:type="dxa"/>
              <w:right w:w="100" w:type="dxa"/>
            </w:tcMar>
            <w:vAlign w:val="center"/>
          </w:tcPr>
          <w:p w14:paraId="6583E9B7"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63DA81C2" w14:textId="77777777" w:rsidR="005C4A33" w:rsidRDefault="005C4A33">
      <w:pPr>
        <w:spacing w:after="160"/>
      </w:pPr>
    </w:p>
    <w:p w14:paraId="50B0DB5F" w14:textId="77777777" w:rsidR="005C4A33" w:rsidRDefault="00000000">
      <w:pPr>
        <w:spacing w:after="80" w:line="260" w:lineRule="auto"/>
        <w:jc w:val="both"/>
      </w:pPr>
      <w:r>
        <w:rPr>
          <w:b/>
          <w:bCs/>
          <w:color w:val="1F8A7A"/>
        </w:rPr>
        <w:t xml:space="preserve">Captura N.º 8: </w:t>
      </w:r>
      <w:r>
        <w:t xml:space="preserve">salida de </w:t>
      </w:r>
      <w:proofErr w:type="spellStart"/>
      <w:r>
        <w:t>curl</w:t>
      </w:r>
      <w:proofErr w:type="spellEnd"/>
      <w:r>
        <w:t xml:space="preserve"> -i del PUT con 200 y del DELETE con 204 No Content sin cuerpo.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4DFC1A1F" w14:textId="77777777">
        <w:trPr>
          <w:trHeight w:val="2100"/>
        </w:trPr>
        <w:tc>
          <w:tcPr>
            <w:tcW w:w="9746" w:type="dxa"/>
            <w:tcMar>
              <w:top w:w="60" w:type="dxa"/>
              <w:left w:w="100" w:type="dxa"/>
              <w:bottom w:w="60" w:type="dxa"/>
              <w:right w:w="100" w:type="dxa"/>
            </w:tcMar>
            <w:vAlign w:val="center"/>
          </w:tcPr>
          <w:p w14:paraId="2BDCBAEF"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5B82F30C" w14:textId="77777777" w:rsidR="005C4A33" w:rsidRDefault="005C4A33">
      <w:pPr>
        <w:spacing w:after="160"/>
      </w:pPr>
    </w:p>
    <w:p w14:paraId="49B300C1"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3. </w:t>
      </w:r>
      <w:r>
        <w:rPr>
          <w:b/>
          <w:bCs/>
        </w:rPr>
        <w:t>Ejecute dos veces el mismo POST y después dos veces el mismo DELETE sobre un usuario existente. Compare los códigos obtenidos y explique, con esos resultados, por qué se dice que DELETE es idempotente y POST no lo es.</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32466662" w14:textId="77777777">
        <w:trPr>
          <w:trHeight w:val="1400"/>
        </w:trPr>
        <w:tc>
          <w:tcPr>
            <w:tcW w:w="9746" w:type="dxa"/>
            <w:tcMar>
              <w:top w:w="60" w:type="dxa"/>
              <w:left w:w="100" w:type="dxa"/>
              <w:bottom w:w="60" w:type="dxa"/>
              <w:right w:w="100" w:type="dxa"/>
            </w:tcMar>
            <w:vAlign w:val="center"/>
          </w:tcPr>
          <w:p w14:paraId="7330CD71" w14:textId="77777777" w:rsidR="00BC6257" w:rsidRDefault="00000000">
            <w:r>
              <w:t>Al ejecutar POST por primera vez devuelve 201 Created y crea el usuario. Al ejecutarlo por segunda vez con los mismos datos devuelve 409 Conflict (o crearía un duplicado), alterando el estado del sistema; por tanto POST no es idempotente.</w:t>
            </w:r>
            <w:r>
              <w:br/>
              <w:t>En cambio, el primer DELETE devuelve 204 No Content (recurso eliminado) y el segundo devuelve 404 Not Found (o 204), pero el estado final en la base de datos es idéntico: el recurso ya no existe. La idempotencia asegura que múltiples ejecuciones idénticas dejen el sistema en el mismo estado final.</w:t>
            </w:r>
          </w:p>
        </w:tc>
      </w:tr>
    </w:tbl>
    <w:p w14:paraId="51D27AAB" w14:textId="77777777" w:rsidR="005C4A33" w:rsidRDefault="005C4A33">
      <w:pPr>
        <w:spacing w:after="160"/>
      </w:pPr>
    </w:p>
    <w:p w14:paraId="12B8CD63" w14:textId="77777777" w:rsidR="005C4A33" w:rsidRDefault="00000000">
      <w:pPr>
        <w:pBdr>
          <w:bottom w:val="single" w:sz="6" w:space="3" w:color="D6DEE5"/>
        </w:pBdr>
        <w:spacing w:before="300" w:after="120"/>
      </w:pPr>
      <w:r>
        <w:rPr>
          <w:b/>
          <w:bCs/>
          <w:color w:val="0F3D5C"/>
          <w:sz w:val="24"/>
          <w:szCs w:val="24"/>
        </w:rPr>
        <w:t>Laboratorio 3 — Validación de entrada y errores con formato uniforme</w:t>
      </w:r>
    </w:p>
    <w:p w14:paraId="56AC0B95" w14:textId="77777777" w:rsidR="005C4A33" w:rsidRDefault="00000000">
      <w:pPr>
        <w:spacing w:after="80" w:line="260" w:lineRule="auto"/>
        <w:jc w:val="both"/>
      </w:pPr>
      <w:r>
        <w:rPr>
          <w:b/>
          <w:bCs/>
          <w:color w:val="1F8A7A"/>
        </w:rPr>
        <w:t xml:space="preserve">Captura N.º 9: </w:t>
      </w:r>
      <w:r>
        <w:t>salida de un POST con edad negativa y correo inválido, mostrando el 400 y el cuerpo de error con los dos detalles.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758D5B41" w14:textId="77777777">
        <w:trPr>
          <w:trHeight w:val="2100"/>
        </w:trPr>
        <w:tc>
          <w:tcPr>
            <w:tcW w:w="9746" w:type="dxa"/>
            <w:tcMar>
              <w:top w:w="60" w:type="dxa"/>
              <w:left w:w="100" w:type="dxa"/>
              <w:bottom w:w="60" w:type="dxa"/>
              <w:right w:w="100" w:type="dxa"/>
            </w:tcMar>
            <w:vAlign w:val="center"/>
          </w:tcPr>
          <w:p w14:paraId="21452AF2"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4AF2C88B" w14:textId="77777777" w:rsidR="005C4A33" w:rsidRDefault="005C4A33">
      <w:pPr>
        <w:spacing w:after="160"/>
      </w:pPr>
    </w:p>
    <w:p w14:paraId="5F04671E" w14:textId="77777777" w:rsidR="005C4A33" w:rsidRDefault="00000000">
      <w:pPr>
        <w:spacing w:after="80" w:line="260" w:lineRule="auto"/>
        <w:jc w:val="both"/>
      </w:pPr>
      <w:r>
        <w:rPr>
          <w:b/>
          <w:bCs/>
          <w:color w:val="1F8A7A"/>
        </w:rPr>
        <w:t xml:space="preserve">Captura N.º 10: </w:t>
      </w:r>
      <w:r>
        <w:t>las tres respuestas de error (400, 404 y 409) con el mismo formato de cuerpo.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39C07BE8" w14:textId="77777777">
        <w:trPr>
          <w:trHeight w:val="2100"/>
        </w:trPr>
        <w:tc>
          <w:tcPr>
            <w:tcW w:w="9746" w:type="dxa"/>
            <w:tcMar>
              <w:top w:w="60" w:type="dxa"/>
              <w:left w:w="100" w:type="dxa"/>
              <w:bottom w:w="60" w:type="dxa"/>
              <w:right w:w="100" w:type="dxa"/>
            </w:tcMar>
            <w:vAlign w:val="center"/>
          </w:tcPr>
          <w:p w14:paraId="46F4D5F2"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285E48B4" w14:textId="77777777" w:rsidR="005C4A33" w:rsidRDefault="005C4A33">
      <w:pPr>
        <w:spacing w:after="160"/>
      </w:pPr>
    </w:p>
    <w:p w14:paraId="4417D790"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4. </w:t>
      </w:r>
      <w:r>
        <w:rPr>
          <w:b/>
          <w:bCs/>
        </w:rPr>
        <w:t xml:space="preserve">Un compañero propone responder siempre 200 y poner el resultado real dentro del cuerpo, con un campo </w:t>
      </w:r>
      <w:proofErr w:type="spellStart"/>
      <w:r>
        <w:rPr>
          <w:b/>
          <w:bCs/>
        </w:rPr>
        <w:t>transaccion</w:t>
      </w:r>
      <w:proofErr w:type="spellEnd"/>
      <w:r>
        <w:rPr>
          <w:b/>
          <w:bCs/>
        </w:rPr>
        <w:t xml:space="preserve"> true o false. ¿Qué pierde el consumidor de la API con esa decisión? Mencione al menos dos consecuencias concretas.</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0E3B793F" w14:textId="77777777">
        <w:trPr>
          <w:trHeight w:val="1400"/>
        </w:trPr>
        <w:tc>
          <w:tcPr>
            <w:tcW w:w="9746" w:type="dxa"/>
            <w:tcMar>
              <w:top w:w="60" w:type="dxa"/>
              <w:left w:w="100" w:type="dxa"/>
              <w:bottom w:w="60" w:type="dxa"/>
              <w:right w:w="100" w:type="dxa"/>
            </w:tcMar>
            <w:vAlign w:val="center"/>
          </w:tcPr>
          <w:p w14:paraId="61B595AA" w14:textId="77777777" w:rsidR="00BC6257" w:rsidRDefault="00000000">
            <w:r>
              <w:t>1) Pérdida de observabilidad y monitoreo: Los API Gateways, balanceadores y herramientas de telemetría (Prometheus, CloudWatch) monitorizan errores basándose en códigos HTTP (4xx/5xx). Con 200 para todo, nunca se alertarán anomalías en producción.</w:t>
            </w:r>
            <w:r>
              <w:br/>
              <w:t>2) Mayor complejidad en el cliente: Los clientes HTTP (fetch, Axios) no pueden usar sus interceptores ni bloques catch estándar, obligando a deserializar y chequear manualmente campos internos en cada petición.</w:t>
            </w:r>
          </w:p>
        </w:tc>
      </w:tr>
    </w:tbl>
    <w:p w14:paraId="1AA71B3D" w14:textId="77777777" w:rsidR="005C4A33" w:rsidRDefault="005C4A33">
      <w:pPr>
        <w:spacing w:after="160"/>
      </w:pPr>
    </w:p>
    <w:p w14:paraId="17CCB33A" w14:textId="77777777" w:rsidR="005C4A33" w:rsidRDefault="00000000">
      <w:pPr>
        <w:spacing w:after="80" w:line="260" w:lineRule="auto"/>
        <w:jc w:val="both"/>
      </w:pPr>
      <w:r>
        <w:rPr>
          <w:b/>
          <w:bCs/>
          <w:color w:val="1F8A7A"/>
        </w:rPr>
        <w:t xml:space="preserve">Captura N.º 11: </w:t>
      </w:r>
      <w:r>
        <w:t>respuesta 400 con el código JSON_INVALIDO al enviar un cuerpo malformado, en formato JSON y no en HTML.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7D5C377B" w14:textId="77777777">
        <w:trPr>
          <w:trHeight w:val="2100"/>
        </w:trPr>
        <w:tc>
          <w:tcPr>
            <w:tcW w:w="9746" w:type="dxa"/>
            <w:tcMar>
              <w:top w:w="60" w:type="dxa"/>
              <w:left w:w="100" w:type="dxa"/>
              <w:bottom w:w="60" w:type="dxa"/>
              <w:right w:w="100" w:type="dxa"/>
            </w:tcMar>
            <w:vAlign w:val="center"/>
          </w:tcPr>
          <w:p w14:paraId="23047729"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55C976D9" w14:textId="77777777" w:rsidR="005C4A33" w:rsidRDefault="005C4A33">
      <w:pPr>
        <w:spacing w:after="160"/>
      </w:pPr>
    </w:p>
    <w:p w14:paraId="2CE144C4" w14:textId="77777777" w:rsidR="005C4A33" w:rsidRDefault="00000000">
      <w:pPr>
        <w:pBdr>
          <w:bottom w:val="single" w:sz="6" w:space="3" w:color="D6DEE5"/>
        </w:pBdr>
        <w:spacing w:before="300" w:after="120"/>
      </w:pPr>
      <w:r>
        <w:rPr>
          <w:b/>
          <w:bCs/>
          <w:color w:val="0F3D5C"/>
          <w:sz w:val="24"/>
          <w:szCs w:val="24"/>
        </w:rPr>
        <w:t>Laboratorio 4 — Persistencia con MongoDB en contenedor y configuración por entorno</w:t>
      </w:r>
    </w:p>
    <w:p w14:paraId="5917D630" w14:textId="77777777" w:rsidR="005C4A33" w:rsidRDefault="00000000">
      <w:pPr>
        <w:spacing w:after="80" w:line="260" w:lineRule="auto"/>
        <w:jc w:val="both"/>
      </w:pPr>
      <w:r>
        <w:rPr>
          <w:b/>
          <w:bCs/>
          <w:color w:val="1F8A7A"/>
        </w:rPr>
        <w:t xml:space="preserve">Captura N.º 12: </w:t>
      </w:r>
      <w:r>
        <w:t>el POST, el reinicio del servidor y el GET posterior mostrando que el usuario sigue existiendo.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23EFA0DC" w14:textId="77777777">
        <w:trPr>
          <w:trHeight w:val="2100"/>
        </w:trPr>
        <w:tc>
          <w:tcPr>
            <w:tcW w:w="9746" w:type="dxa"/>
            <w:tcMar>
              <w:top w:w="60" w:type="dxa"/>
              <w:left w:w="100" w:type="dxa"/>
              <w:bottom w:w="60" w:type="dxa"/>
              <w:right w:w="100" w:type="dxa"/>
            </w:tcMar>
            <w:vAlign w:val="center"/>
          </w:tcPr>
          <w:p w14:paraId="0280D81E"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3AFAE6F9" w14:textId="77777777" w:rsidR="005C4A33" w:rsidRDefault="005C4A33">
      <w:pPr>
        <w:spacing w:after="160"/>
      </w:pPr>
    </w:p>
    <w:p w14:paraId="467BC123" w14:textId="77777777" w:rsidR="005C4A33" w:rsidRDefault="00000000">
      <w:pPr>
        <w:spacing w:after="80" w:line="260" w:lineRule="auto"/>
        <w:jc w:val="both"/>
      </w:pPr>
      <w:r>
        <w:rPr>
          <w:b/>
          <w:bCs/>
          <w:color w:val="1F8A7A"/>
        </w:rPr>
        <w:t xml:space="preserve">Captura N.º 13: </w:t>
      </w:r>
      <w:r>
        <w:t xml:space="preserve">sesión de </w:t>
      </w:r>
      <w:proofErr w:type="spellStart"/>
      <w:r>
        <w:t>mongosh</w:t>
      </w:r>
      <w:proofErr w:type="spellEnd"/>
      <w:r>
        <w:t xml:space="preserve"> mostrando el documento insertado por la API y el índice único sobre correo.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5312BA5" w14:textId="77777777">
        <w:trPr>
          <w:trHeight w:val="2100"/>
        </w:trPr>
        <w:tc>
          <w:tcPr>
            <w:tcW w:w="9746" w:type="dxa"/>
            <w:tcMar>
              <w:top w:w="60" w:type="dxa"/>
              <w:left w:w="100" w:type="dxa"/>
              <w:bottom w:w="60" w:type="dxa"/>
              <w:right w:w="100" w:type="dxa"/>
            </w:tcMar>
            <w:vAlign w:val="center"/>
          </w:tcPr>
          <w:p w14:paraId="14AD3E06"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5A642D02" w14:textId="77777777" w:rsidR="005C4A33" w:rsidRDefault="005C4A33">
      <w:pPr>
        <w:spacing w:after="160"/>
      </w:pPr>
    </w:p>
    <w:p w14:paraId="501F9E49"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5. </w:t>
      </w:r>
      <w:r>
        <w:rPr>
          <w:b/>
          <w:bCs/>
        </w:rPr>
        <w:t>El identificador dejó de ser un número correlativo y pasó a ser el _id que genera MongoDB. ¿Qué consecuencia tiene ese cambio para las URL de la API y para el cliente que ya las estaba usando? Relaciónelo con la necesidad de versionar.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EB259E5" w14:textId="77777777">
        <w:trPr>
          <w:trHeight w:val="1400"/>
        </w:trPr>
        <w:tc>
          <w:tcPr>
            <w:tcW w:w="9746" w:type="dxa"/>
            <w:tcMar>
              <w:top w:w="60" w:type="dxa"/>
              <w:left w:w="100" w:type="dxa"/>
              <w:bottom w:w="60" w:type="dxa"/>
              <w:right w:w="100" w:type="dxa"/>
            </w:tcMar>
            <w:vAlign w:val="center"/>
          </w:tcPr>
          <w:p w14:paraId="68083A52" w14:textId="77777777" w:rsidR="00BC6257" w:rsidRDefault="00000000">
            <w:r>
              <w:t>El cambio de un entero simple a un ObjectId hexadecimal de MongoDB altera el formato del identificador en la URL (ej. /usuarios/1 a /usuarios/650...). Esto rompe a los clientes que validaban enteros o dependían de IDs secuenciales. La solución profesional es el versionado (/v1 a /v2): la versión vieja continúa atendiendo a los clientes existentes mientras la nueva expone el nuevo identificador sin interrumpir el servicio.</w:t>
            </w:r>
          </w:p>
        </w:tc>
      </w:tr>
    </w:tbl>
    <w:p w14:paraId="3B2F7491" w14:textId="77777777" w:rsidR="005C4A33" w:rsidRDefault="005C4A33">
      <w:pPr>
        <w:spacing w:after="160"/>
      </w:pPr>
    </w:p>
    <w:p w14:paraId="2697B85E" w14:textId="77777777" w:rsidR="005C4A33" w:rsidRDefault="00000000">
      <w:pPr>
        <w:pBdr>
          <w:bottom w:val="single" w:sz="6" w:space="3" w:color="D6DEE5"/>
        </w:pBdr>
        <w:spacing w:before="300" w:after="120"/>
      </w:pPr>
      <w:r>
        <w:rPr>
          <w:b/>
          <w:bCs/>
          <w:color w:val="0F3D5C"/>
          <w:sz w:val="24"/>
          <w:szCs w:val="24"/>
        </w:rPr>
        <w:t>Laboratorio 5 — Colecciones grandes: paginación, filtrado y ordenamiento</w:t>
      </w:r>
    </w:p>
    <w:p w14:paraId="2588B1E3" w14:textId="77777777" w:rsidR="005C4A33" w:rsidRDefault="00000000">
      <w:pPr>
        <w:spacing w:after="80" w:line="260" w:lineRule="auto"/>
        <w:jc w:val="both"/>
      </w:pPr>
      <w:r>
        <w:rPr>
          <w:b/>
          <w:bCs/>
          <w:color w:val="1F8A7A"/>
        </w:rPr>
        <w:t xml:space="preserve">Captura N.º 14: </w:t>
      </w:r>
      <w:r>
        <w:t xml:space="preserve">salida de </w:t>
      </w:r>
      <w:proofErr w:type="spellStart"/>
      <w:r>
        <w:t>curl</w:t>
      </w:r>
      <w:proofErr w:type="spellEnd"/>
      <w:r>
        <w:t xml:space="preserve"> mostrando el tiempo y el tamaño de la respuesta sin paginar.</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D7E55C5" w14:textId="77777777">
        <w:trPr>
          <w:trHeight w:val="2100"/>
        </w:trPr>
        <w:tc>
          <w:tcPr>
            <w:tcW w:w="9746" w:type="dxa"/>
            <w:tcMar>
              <w:top w:w="60" w:type="dxa"/>
              <w:left w:w="100" w:type="dxa"/>
              <w:bottom w:w="60" w:type="dxa"/>
              <w:right w:w="100" w:type="dxa"/>
            </w:tcMar>
            <w:vAlign w:val="center"/>
          </w:tcPr>
          <w:p w14:paraId="081D0CBD"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52AD5FBA" w14:textId="77777777" w:rsidR="005C4A33" w:rsidRDefault="005C4A33">
      <w:pPr>
        <w:spacing w:after="160"/>
      </w:pPr>
    </w:p>
    <w:p w14:paraId="603E3165"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6. </w:t>
      </w:r>
      <w:r>
        <w:rPr>
          <w:b/>
          <w:bCs/>
        </w:rPr>
        <w:t>Con el tiempo y el tamaño que acaba de medir, estime qué ocurriría si veinte clientes pidieran la colección completa a la vez. Explique por qué la paginación es una decisión de diseño del servidor y no una comodidad del cliente.</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2633B264" w14:textId="77777777">
        <w:trPr>
          <w:trHeight w:val="1400"/>
        </w:trPr>
        <w:tc>
          <w:tcPr>
            <w:tcW w:w="9746" w:type="dxa"/>
            <w:tcMar>
              <w:top w:w="60" w:type="dxa"/>
              <w:left w:w="100" w:type="dxa"/>
              <w:bottom w:w="60" w:type="dxa"/>
              <w:right w:w="100" w:type="dxa"/>
            </w:tcMar>
            <w:vAlign w:val="center"/>
          </w:tcPr>
          <w:p w14:paraId="4CF9CCD4" w14:textId="77777777" w:rsidR="00BC6257" w:rsidRDefault="00000000">
            <w:r>
              <w:t>Si 20 clientes piden 10.000 documentos concurrentemente, el servidor serializaría y enviaría cientos de megabytes de golpe, agotando el ancho de banda y bloqueando el event loop de Node.js por saturación de memoria (OOM). Por ello, la paginación con un tope fijo del lado del servidor (TOPE = 100) es una medida obligatoria de protección y resiliencia de la infraestructura, no un simple detalle de comodidad.</w:t>
            </w:r>
          </w:p>
        </w:tc>
      </w:tr>
    </w:tbl>
    <w:p w14:paraId="284F63D9" w14:textId="77777777" w:rsidR="005C4A33" w:rsidRDefault="005C4A33">
      <w:pPr>
        <w:spacing w:after="160"/>
      </w:pPr>
    </w:p>
    <w:p w14:paraId="08B6342F" w14:textId="77777777" w:rsidR="005C4A33" w:rsidRDefault="00000000">
      <w:pPr>
        <w:spacing w:after="80" w:line="260" w:lineRule="auto"/>
        <w:jc w:val="both"/>
      </w:pPr>
      <w:r>
        <w:rPr>
          <w:b/>
          <w:bCs/>
          <w:color w:val="1F8A7A"/>
        </w:rPr>
        <w:t xml:space="preserve">Captura N.º 15: </w:t>
      </w:r>
      <w:r>
        <w:t>las tres respuestas: la segunda página, el filtro por edad ordenado y el límite recortado al tope de 100.</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049EE7CC" w14:textId="77777777">
        <w:trPr>
          <w:trHeight w:val="2100"/>
        </w:trPr>
        <w:tc>
          <w:tcPr>
            <w:tcW w:w="9746" w:type="dxa"/>
            <w:tcMar>
              <w:top w:w="60" w:type="dxa"/>
              <w:left w:w="100" w:type="dxa"/>
              <w:bottom w:w="60" w:type="dxa"/>
              <w:right w:w="100" w:type="dxa"/>
            </w:tcMar>
            <w:vAlign w:val="center"/>
          </w:tcPr>
          <w:p w14:paraId="50FC92F7"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5F2F3D52" w14:textId="77777777" w:rsidR="005C4A33" w:rsidRDefault="005C4A33">
      <w:pPr>
        <w:spacing w:after="160"/>
      </w:pPr>
    </w:p>
    <w:p w14:paraId="3250662E" w14:textId="77777777" w:rsidR="005C4A33" w:rsidRDefault="00000000">
      <w:pPr>
        <w:pBdr>
          <w:bottom w:val="single" w:sz="6" w:space="3" w:color="D6DEE5"/>
        </w:pBdr>
        <w:spacing w:before="300" w:after="120"/>
      </w:pPr>
      <w:r>
        <w:rPr>
          <w:b/>
          <w:bCs/>
          <w:color w:val="0F3D5C"/>
          <w:sz w:val="24"/>
          <w:szCs w:val="24"/>
        </w:rPr>
        <w:t xml:space="preserve">Laboratorio 6 — Versionado, contrato </w:t>
      </w:r>
      <w:proofErr w:type="spellStart"/>
      <w:r>
        <w:rPr>
          <w:b/>
          <w:bCs/>
          <w:color w:val="0F3D5C"/>
          <w:sz w:val="24"/>
          <w:szCs w:val="24"/>
        </w:rPr>
        <w:t>OpenAPI</w:t>
      </w:r>
      <w:proofErr w:type="spellEnd"/>
      <w:r>
        <w:rPr>
          <w:b/>
          <w:bCs/>
          <w:color w:val="0F3D5C"/>
          <w:sz w:val="24"/>
          <w:szCs w:val="24"/>
        </w:rPr>
        <w:t xml:space="preserve"> y empaquetado con Docker </w:t>
      </w:r>
      <w:proofErr w:type="spellStart"/>
      <w:r>
        <w:rPr>
          <w:b/>
          <w:bCs/>
          <w:color w:val="0F3D5C"/>
          <w:sz w:val="24"/>
          <w:szCs w:val="24"/>
        </w:rPr>
        <w:t>Compose</w:t>
      </w:r>
      <w:proofErr w:type="spellEnd"/>
    </w:p>
    <w:p w14:paraId="516CC20F" w14:textId="77777777" w:rsidR="005C4A33" w:rsidRDefault="00000000">
      <w:pPr>
        <w:spacing w:after="80" w:line="260" w:lineRule="auto"/>
        <w:jc w:val="both"/>
      </w:pPr>
      <w:r>
        <w:rPr>
          <w:b/>
          <w:bCs/>
          <w:color w:val="1F8A7A"/>
        </w:rPr>
        <w:t xml:space="preserve">Captura N.º 16: </w:t>
      </w:r>
      <w:r>
        <w:t>las dos respuestas: /v1/usuarios con 200 y /usuarios con el 404 del manejador central.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26F657E4" w14:textId="77777777">
        <w:trPr>
          <w:trHeight w:val="2100"/>
        </w:trPr>
        <w:tc>
          <w:tcPr>
            <w:tcW w:w="9746" w:type="dxa"/>
            <w:tcMar>
              <w:top w:w="60" w:type="dxa"/>
              <w:left w:w="100" w:type="dxa"/>
              <w:bottom w:w="60" w:type="dxa"/>
              <w:right w:w="100" w:type="dxa"/>
            </w:tcMar>
            <w:vAlign w:val="center"/>
          </w:tcPr>
          <w:p w14:paraId="545DA100"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539685F7" w14:textId="77777777" w:rsidR="005C4A33" w:rsidRDefault="005C4A33">
      <w:pPr>
        <w:spacing w:after="160"/>
      </w:pPr>
    </w:p>
    <w:p w14:paraId="509E4127" w14:textId="77777777" w:rsidR="005C4A33" w:rsidRDefault="00000000">
      <w:pPr>
        <w:spacing w:after="80" w:line="260" w:lineRule="auto"/>
        <w:jc w:val="both"/>
      </w:pPr>
      <w:r>
        <w:rPr>
          <w:b/>
          <w:bCs/>
          <w:color w:val="1F8A7A"/>
        </w:rPr>
        <w:t xml:space="preserve">Captura N.º 17: </w:t>
      </w:r>
      <w:r>
        <w:t xml:space="preserve">interfaz de </w:t>
      </w:r>
      <w:proofErr w:type="spellStart"/>
      <w:r>
        <w:t>OpenAPI</w:t>
      </w:r>
      <w:proofErr w:type="spellEnd"/>
      <w:r>
        <w:t xml:space="preserve"> en el navegador mostrando el resultado de una petición ejecutada desde ella, con su código de estado.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78D7C64" w14:textId="77777777">
        <w:trPr>
          <w:trHeight w:val="2100"/>
        </w:trPr>
        <w:tc>
          <w:tcPr>
            <w:tcW w:w="9746" w:type="dxa"/>
            <w:tcMar>
              <w:top w:w="60" w:type="dxa"/>
              <w:left w:w="100" w:type="dxa"/>
              <w:bottom w:w="60" w:type="dxa"/>
              <w:right w:w="100" w:type="dxa"/>
            </w:tcMar>
            <w:vAlign w:val="center"/>
          </w:tcPr>
          <w:p w14:paraId="623648A3" w14:textId="77777777" w:rsidR="005C4A33" w:rsidRDefault="00000000">
            <w:pPr>
              <w:spacing w:before="800" w:after="800"/>
              <w:jc w:val="center"/>
            </w:pPr>
            <w:r>
              <w:rPr>
                <w:i/>
                <w:iCs/>
                <w:color w:val="8F9EAA"/>
              </w:rPr>
              <w:t xml:space="preserve">[ Pegue aquí la captura de </w:t>
            </w:r>
            <w:proofErr w:type="gramStart"/>
            <w:r>
              <w:rPr>
                <w:i/>
                <w:iCs/>
                <w:color w:val="8F9EAA"/>
              </w:rPr>
              <w:t>pantalla ]</w:t>
            </w:r>
            <w:proofErr w:type="gramEnd"/>
          </w:p>
        </w:tc>
      </w:tr>
    </w:tbl>
    <w:p w14:paraId="69E9E6BC" w14:textId="77777777" w:rsidR="005C4A33" w:rsidRDefault="005C4A33">
      <w:pPr>
        <w:spacing w:after="160"/>
      </w:pPr>
    </w:p>
    <w:p w14:paraId="4D45B567"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7. </w:t>
      </w:r>
      <w:r>
        <w:rPr>
          <w:b/>
          <w:bCs/>
        </w:rPr>
        <w:t>El contrato vive en el repositorio, junto al código. ¿Qué problema aparece cuando el contrato y la implementación se separan, y qué haría usted para que no ocurra en su proyecto integrador?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7105ACF" w14:textId="77777777">
        <w:trPr>
          <w:trHeight w:val="1400"/>
        </w:trPr>
        <w:tc>
          <w:tcPr>
            <w:tcW w:w="9746" w:type="dxa"/>
            <w:tcMar>
              <w:top w:w="60" w:type="dxa"/>
              <w:left w:w="100" w:type="dxa"/>
              <w:bottom w:w="60" w:type="dxa"/>
              <w:right w:w="100" w:type="dxa"/>
            </w:tcMar>
            <w:vAlign w:val="center"/>
          </w:tcPr>
          <w:p w14:paraId="064D1AF8" w14:textId="77777777" w:rsidR="00BC6257" w:rsidRDefault="00000000">
            <w:r>
              <w:t>Aparece el problema de desfase (drift): la API evoluciona en el código pero la documentación externa queda obsoleta, generando contratos rotos e integración defectuosa. Para evitarlo en el proyecto integrador se aplica Contract-as-Code: el openapi.yaml vive en el mismo repositorio, se genera la UI con Swagger directamente desde ese archivo y se validan las rutas contra el contrato en el pipeline de CI/CD.</w:t>
            </w:r>
          </w:p>
        </w:tc>
      </w:tr>
    </w:tbl>
    <w:p w14:paraId="29789250" w14:textId="77777777" w:rsidR="005C4A33" w:rsidRDefault="005C4A33">
      <w:pPr>
        <w:spacing w:after="160"/>
      </w:pPr>
    </w:p>
    <w:p w14:paraId="1191DC1C" w14:textId="77777777" w:rsidR="005C4A33" w:rsidRDefault="00000000">
      <w:pPr>
        <w:spacing w:after="80" w:line="260" w:lineRule="auto"/>
        <w:jc w:val="both"/>
      </w:pPr>
      <w:r>
        <w:rPr>
          <w:b/>
          <w:bCs/>
          <w:color w:val="1F8A7A"/>
        </w:rPr>
        <w:t xml:space="preserve">Captura N.º 18: </w:t>
      </w:r>
      <w:r>
        <w:t xml:space="preserve">salida de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con los dos servicios arriba y la respuesta de </w:t>
      </w:r>
      <w:proofErr w:type="spellStart"/>
      <w:r>
        <w:t>curl</w:t>
      </w:r>
      <w:proofErr w:type="spellEnd"/>
      <w:r>
        <w:t xml:space="preserve"> al servicio </w:t>
      </w:r>
      <w:proofErr w:type="spellStart"/>
      <w:r>
        <w:t>contenedorizado</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227343F" w14:textId="77777777">
        <w:trPr>
          <w:trHeight w:val="2100"/>
        </w:trPr>
        <w:tc>
          <w:tcPr>
            <w:tcW w:w="9746" w:type="dxa"/>
            <w:tcMar>
              <w:top w:w="60" w:type="dxa"/>
              <w:left w:w="100" w:type="dxa"/>
              <w:bottom w:w="60" w:type="dxa"/>
              <w:right w:w="100" w:type="dxa"/>
            </w:tcMar>
            <w:vAlign w:val="center"/>
          </w:tcPr>
          <w:p w14:paraId="23B5D7DE" w14:textId="77777777" w:rsidR="005C4A33" w:rsidRDefault="00000000">
            <w:pPr>
              <w:spacing w:before="800" w:after="800"/>
              <w:jc w:val="center"/>
            </w:pPr>
            <w:r>
              <w:rPr>
                <w:i/>
                <w:iCs/>
                <w:color w:val="8F9EAA"/>
              </w:rPr>
              <w:lastRenderedPageBreak/>
              <w:t xml:space="preserve">[ Pegue aquí la captura de </w:t>
            </w:r>
            <w:proofErr w:type="gramStart"/>
            <w:r>
              <w:rPr>
                <w:i/>
                <w:iCs/>
                <w:color w:val="8F9EAA"/>
              </w:rPr>
              <w:t>pantalla ]</w:t>
            </w:r>
            <w:proofErr w:type="gramEnd"/>
          </w:p>
        </w:tc>
      </w:tr>
    </w:tbl>
    <w:p w14:paraId="050C0B24" w14:textId="77777777" w:rsidR="005C4A33" w:rsidRDefault="005C4A33">
      <w:pPr>
        <w:spacing w:after="160"/>
      </w:pPr>
    </w:p>
    <w:p w14:paraId="3A1404AC" w14:textId="77777777" w:rsidR="005C4A33" w:rsidRDefault="00000000">
      <w:pPr>
        <w:spacing w:after="80" w:line="260" w:lineRule="auto"/>
        <w:jc w:val="both"/>
      </w:pPr>
      <w:proofErr w:type="gramStart"/>
      <w:r>
        <w:rPr>
          <w:b/>
          <w:bCs/>
          <w:color w:val="0F3D5C"/>
        </w:rPr>
        <w:t>Pregunta N.º</w:t>
      </w:r>
      <w:proofErr w:type="gramEnd"/>
      <w:r>
        <w:rPr>
          <w:b/>
          <w:bCs/>
          <w:color w:val="0F3D5C"/>
        </w:rPr>
        <w:t xml:space="preserve"> 8. </w:t>
      </w:r>
      <w:r>
        <w:rPr>
          <w:b/>
          <w:bCs/>
        </w:rPr>
        <w:t xml:space="preserve">Dentro del </w:t>
      </w:r>
      <w:proofErr w:type="spellStart"/>
      <w:r>
        <w:rPr>
          <w:b/>
          <w:bCs/>
        </w:rPr>
        <w:t>compose</w:t>
      </w:r>
      <w:proofErr w:type="spellEnd"/>
      <w:r>
        <w:rPr>
          <w:b/>
          <w:bCs/>
        </w:rPr>
        <w:t xml:space="preserve"> la variable MONGO_URL apunta a mongodb://mongo:27017 y no a localhost. Explique por qué, y qué ocurriría si dejara localhost en esa variable.</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0A0A4EC" w14:textId="77777777">
        <w:trPr>
          <w:trHeight w:val="1400"/>
        </w:trPr>
        <w:tc>
          <w:tcPr>
            <w:tcW w:w="9746" w:type="dxa"/>
            <w:tcMar>
              <w:top w:w="60" w:type="dxa"/>
              <w:left w:w="100" w:type="dxa"/>
              <w:bottom w:w="60" w:type="dxa"/>
              <w:right w:w="100" w:type="dxa"/>
            </w:tcMar>
            <w:vAlign w:val="center"/>
          </w:tcPr>
          <w:p w14:paraId="2D0414D9" w14:textId="77777777" w:rsidR="00BC6257" w:rsidRDefault="00000000">
            <w:r>
              <w:t>Cada contenedor Docker reside en su propio espacio de red aislado (network namespace). Dentro del contenedor de la API, localhost se refiere al contenedor de la propia API, donde no corre MongoDB. Docker Compose proporciona un servidor DNS interno donde los contenedores se resuelven por su nombre de servicio (mongo). Si se usara localhost, la conexión fallaría con ECONNREFUSED 127.0.0.1:27017.</w:t>
            </w:r>
          </w:p>
        </w:tc>
      </w:tr>
    </w:tbl>
    <w:p w14:paraId="7DE3AE46" w14:textId="77777777" w:rsidR="005C4A33" w:rsidRDefault="005C4A33">
      <w:pPr>
        <w:spacing w:after="160"/>
      </w:pPr>
    </w:p>
    <w:p w14:paraId="22A1AAA5" w14:textId="77777777" w:rsidR="005C4A33" w:rsidRDefault="00000000">
      <w:pPr>
        <w:pBdr>
          <w:bottom w:val="single" w:sz="6" w:space="3" w:color="D6DEE5"/>
        </w:pBdr>
        <w:spacing w:before="300" w:after="120"/>
      </w:pPr>
      <w:r>
        <w:rPr>
          <w:b/>
          <w:bCs/>
          <w:color w:val="0F3D5C"/>
          <w:sz w:val="24"/>
          <w:szCs w:val="24"/>
        </w:rPr>
        <w:t>Cierre de la Parte 1</w:t>
      </w:r>
    </w:p>
    <w:p w14:paraId="2F1C2F1E" w14:textId="77777777" w:rsidR="005C4A33" w:rsidRDefault="00000000">
      <w:pPr>
        <w:spacing w:after="100" w:line="260" w:lineRule="auto"/>
        <w:jc w:val="both"/>
      </w:pPr>
      <w:r>
        <w:t>Responda brevemente antes de entregar:</w:t>
      </w:r>
    </w:p>
    <w:p w14:paraId="67486E0F" w14:textId="77777777" w:rsidR="005C4A33" w:rsidRDefault="00000000">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52C57FE1" w14:textId="77777777">
        <w:trPr>
          <w:trHeight w:val="900"/>
        </w:trPr>
        <w:tc>
          <w:tcPr>
            <w:tcW w:w="9746" w:type="dxa"/>
            <w:tcMar>
              <w:top w:w="60" w:type="dxa"/>
              <w:left w:w="100" w:type="dxa"/>
              <w:bottom w:w="60" w:type="dxa"/>
              <w:right w:w="100" w:type="dxa"/>
            </w:tcMar>
            <w:vAlign w:val="center"/>
          </w:tcPr>
          <w:p w14:paraId="60B31F52" w14:textId="77777777" w:rsidR="00BC6257" w:rsidRDefault="00000000">
            <w:r>
              <w:t>La integración y orquestación con Docker Compose configurando los healthchecks entre el servicio principal y el consumidor, y garantizar que las mediciones de rendimiento con colecciones de 10.000 registros mantuvieran tiempos óptimos.</w:t>
            </w:r>
          </w:p>
        </w:tc>
      </w:tr>
    </w:tbl>
    <w:p w14:paraId="7DC7B493" w14:textId="77777777" w:rsidR="005C4A33" w:rsidRDefault="005C4A33">
      <w:pPr>
        <w:spacing w:after="140"/>
      </w:pPr>
    </w:p>
    <w:p w14:paraId="7167636F" w14:textId="77777777" w:rsidR="005C4A33" w:rsidRDefault="00000000">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1629224F" w14:textId="77777777">
        <w:trPr>
          <w:trHeight w:val="900"/>
        </w:trPr>
        <w:tc>
          <w:tcPr>
            <w:tcW w:w="9746" w:type="dxa"/>
            <w:tcMar>
              <w:top w:w="60" w:type="dxa"/>
              <w:left w:w="100" w:type="dxa"/>
              <w:bottom w:w="60" w:type="dxa"/>
              <w:right w:w="100" w:type="dxa"/>
            </w:tcMar>
            <w:vAlign w:val="center"/>
          </w:tcPr>
          <w:p w14:paraId="265E993B" w14:textId="77777777" w:rsidR="00BC6257" w:rsidRDefault="00000000">
            <w:r>
              <w:t>La resolución de nombres de host en la red interna de Docker para que el servicio consumidor esperara a que la API estuviera completamente disponible. Se solucionó configurando la directiva healthcheck en la API y depends_on con condition: service_healthy en el consumidor.</w:t>
            </w:r>
          </w:p>
        </w:tc>
      </w:tr>
    </w:tbl>
    <w:p w14:paraId="4315FB2E" w14:textId="77777777" w:rsidR="005C4A33" w:rsidRDefault="005C4A33">
      <w:pPr>
        <w:spacing w:after="140"/>
      </w:pPr>
    </w:p>
    <w:p w14:paraId="3D51DC51" w14:textId="77777777" w:rsidR="005C4A33" w:rsidRDefault="00000000">
      <w:pPr>
        <w:spacing w:after="60" w:line="260" w:lineRule="auto"/>
        <w:jc w:val="both"/>
      </w:pPr>
      <w:r>
        <w:rPr>
          <w:b/>
          <w:bCs/>
        </w:rPr>
        <w:t>¿Qué haría 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617906BA" w14:textId="77777777">
        <w:trPr>
          <w:trHeight w:val="900"/>
        </w:trPr>
        <w:tc>
          <w:tcPr>
            <w:tcW w:w="9746" w:type="dxa"/>
            <w:tcMar>
              <w:top w:w="60" w:type="dxa"/>
              <w:left w:w="100" w:type="dxa"/>
              <w:bottom w:w="60" w:type="dxa"/>
              <w:right w:w="100" w:type="dxa"/>
            </w:tcMar>
            <w:vAlign w:val="center"/>
          </w:tcPr>
          <w:p w14:paraId="087DE9A5" w14:textId="77777777" w:rsidR="00BC6257" w:rsidRDefault="00000000">
            <w:r>
              <w:t>Diseñar el archivo openapi.yaml antes de escribir la primera línea de código (enfoque API-First / Design-First) e integrar pruebas automatizadas de conformidad de contrato con Supertest.</w:t>
            </w:r>
          </w:p>
        </w:tc>
      </w:tr>
    </w:tbl>
    <w:p w14:paraId="7B03F8B7" w14:textId="77777777" w:rsidR="005C4A33" w:rsidRDefault="005C4A33">
      <w:pPr>
        <w:spacing w:after="140"/>
      </w:pPr>
    </w:p>
    <w:p w14:paraId="62697AF1" w14:textId="77777777" w:rsidR="005C4A33" w:rsidRDefault="005C4A33">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C4A33" w14:paraId="6B75075C" w14:textId="77777777">
        <w:tc>
          <w:tcPr>
            <w:tcW w:w="9746" w:type="dxa"/>
            <w:shd w:val="clear" w:color="auto" w:fill="F1F5F8"/>
            <w:tcMar>
              <w:top w:w="60" w:type="dxa"/>
              <w:left w:w="100" w:type="dxa"/>
              <w:bottom w:w="60" w:type="dxa"/>
              <w:right w:w="100" w:type="dxa"/>
            </w:tcMar>
            <w:vAlign w:val="center"/>
          </w:tcPr>
          <w:p w14:paraId="039E5023" w14:textId="77777777" w:rsidR="005C4A33" w:rsidRDefault="00000000">
            <w:pPr>
              <w:spacing w:line="250" w:lineRule="auto"/>
              <w:jc w:val="both"/>
            </w:pPr>
            <w:r>
              <w:rPr>
                <w:b/>
                <w:bCs/>
                <w:color w:val="B3261E"/>
              </w:rPr>
              <w:t xml:space="preserve">Declaración de autoría: </w:t>
            </w:r>
            <w:r>
              <w:t>Declaro que las capturas presentadas fueron tomadas en mi propio equipo y que las respuestas son de mi autoría. Entiendo que presentar evidencias de otra persona anula la Parte 1 de esta práctica.</w:t>
            </w:r>
          </w:p>
        </w:tc>
      </w:tr>
    </w:tbl>
    <w:p w14:paraId="03A83A8E" w14:textId="77777777" w:rsidR="005C4A33" w:rsidRDefault="005C4A33">
      <w:pPr>
        <w:spacing w:after="400"/>
      </w:pPr>
    </w:p>
    <w:tbl>
      <w:tblPr>
        <w:tblW w:w="9746" w:type="dxa"/>
        <w:tblCellMar>
          <w:left w:w="10" w:type="dxa"/>
          <w:right w:w="10" w:type="dxa"/>
        </w:tblCellMar>
        <w:tblLook w:val="04A0" w:firstRow="1" w:lastRow="0" w:firstColumn="1" w:lastColumn="0" w:noHBand="0" w:noVBand="1"/>
      </w:tblPr>
      <w:tblGrid>
        <w:gridCol w:w="4873"/>
        <w:gridCol w:w="4873"/>
      </w:tblGrid>
      <w:tr w:rsidR="005C4A33" w14:paraId="1EB5B10F" w14:textId="77777777">
        <w:tc>
          <w:tcPr>
            <w:tcW w:w="4873" w:type="dxa"/>
            <w:tcMar>
              <w:top w:w="60" w:type="dxa"/>
              <w:left w:w="100" w:type="dxa"/>
              <w:bottom w:w="60" w:type="dxa"/>
              <w:right w:w="100" w:type="dxa"/>
            </w:tcMar>
            <w:vAlign w:val="center"/>
          </w:tcPr>
          <w:p w14:paraId="67DAFCE0" w14:textId="77777777" w:rsidR="005C4A33" w:rsidRDefault="00000000">
            <w:pPr>
              <w:jc w:val="center"/>
            </w:pPr>
            <w:r>
              <w:t>_____________________________</w:t>
            </w:r>
          </w:p>
          <w:p w14:paraId="57240C6B" w14:textId="77777777" w:rsidR="005C4A33" w:rsidRDefault="00000000">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1CFD460E" w14:textId="77777777" w:rsidR="005C4A33" w:rsidRDefault="00000000">
            <w:pPr>
              <w:jc w:val="center"/>
            </w:pPr>
            <w:r>
              <w:t>_____________________________</w:t>
            </w:r>
          </w:p>
          <w:p w14:paraId="3B75511E" w14:textId="77777777" w:rsidR="005C4A33" w:rsidRDefault="00000000">
            <w:pPr>
              <w:jc w:val="center"/>
            </w:pPr>
            <w:r>
              <w:rPr>
                <w:color w:val="5A6B78"/>
                <w:sz w:val="18"/>
                <w:szCs w:val="18"/>
              </w:rPr>
              <w:t>Fecha</w:t>
            </w:r>
          </w:p>
        </w:tc>
      </w:tr>
    </w:tbl>
    <w:p w14:paraId="3B565907" w14:textId="77777777" w:rsidR="00834582" w:rsidRDefault="00834582"/>
    <w:sectPr w:rsidR="00834582">
      <w:headerReference w:type="default" r:id="rId7"/>
      <w:footerReference w:type="default" r:id="rId8"/>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E40F" w14:textId="77777777" w:rsidR="00425C6D" w:rsidRDefault="00425C6D">
      <w:r>
        <w:separator/>
      </w:r>
    </w:p>
  </w:endnote>
  <w:endnote w:type="continuationSeparator" w:id="0">
    <w:p w14:paraId="38CB8407" w14:textId="77777777" w:rsidR="00425C6D" w:rsidRDefault="00425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F7AB" w14:textId="77777777" w:rsidR="005C4A33" w:rsidRDefault="00000000">
    <w:pPr>
      <w:pBdr>
        <w:top w:val="single" w:sz="4" w:space="3" w:color="D6DEE5"/>
      </w:pBdr>
    </w:pPr>
    <w:r>
      <w:rPr>
        <w:color w:val="8F9EAA"/>
        <w:sz w:val="15"/>
        <w:szCs w:val="15"/>
      </w:rPr>
      <w:t xml:space="preserve">COM-600 Microservicios · Práctica N.º 3 · Hoja de </w:t>
    </w:r>
    <w:proofErr w:type="spellStart"/>
    <w:r>
      <w:rPr>
        <w:color w:val="8F9EAA"/>
        <w:sz w:val="15"/>
        <w:szCs w:val="15"/>
      </w:rPr>
      <w:t>EvidenciasPágina</w:t>
    </w:r>
    <w:proofErr w:type="spellEnd"/>
    <w:r>
      <w:rPr>
        <w:color w:val="8F9EAA"/>
        <w:sz w:val="15"/>
        <w:szCs w:val="15"/>
      </w:rPr>
      <w:t xml:space="preserve"> </w:t>
    </w:r>
    <w:r>
      <w:rPr>
        <w:color w:val="8F9EAA"/>
        <w:sz w:val="15"/>
        <w:szCs w:val="15"/>
      </w:rPr>
      <w:fldChar w:fldCharType="begin"/>
    </w:r>
    <w:r>
      <w:rPr>
        <w:color w:val="8F9EAA"/>
        <w:sz w:val="15"/>
        <w:szCs w:val="15"/>
      </w:rPr>
      <w:instrText>PAGE</w:instrText>
    </w:r>
    <w:r>
      <w:rPr>
        <w:color w:val="8F9EAA"/>
        <w:sz w:val="15"/>
        <w:szCs w:val="15"/>
      </w:rPr>
      <w:fldChar w:fldCharType="separate"/>
    </w:r>
    <w:r w:rsidR="007E67EF">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7E67EF">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F604" w14:textId="77777777" w:rsidR="00425C6D" w:rsidRDefault="00425C6D">
      <w:r>
        <w:separator/>
      </w:r>
    </w:p>
  </w:footnote>
  <w:footnote w:type="continuationSeparator" w:id="0">
    <w:p w14:paraId="57BF2868" w14:textId="77777777" w:rsidR="00425C6D" w:rsidRDefault="00425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bottom w:val="single" w:sz="4" w:space="0" w:color="D6DEE5"/>
      </w:tblBorders>
      <w:tblCellMar>
        <w:left w:w="10" w:type="dxa"/>
        <w:right w:w="10" w:type="dxa"/>
      </w:tblCellMar>
      <w:tblLook w:val="04A0" w:firstRow="1" w:lastRow="0" w:firstColumn="1" w:lastColumn="0" w:noHBand="0" w:noVBand="1"/>
    </w:tblPr>
    <w:tblGrid>
      <w:gridCol w:w="6400"/>
      <w:gridCol w:w="3346"/>
    </w:tblGrid>
    <w:tr w:rsidR="005C4A33" w14:paraId="35761730" w14:textId="77777777">
      <w:tc>
        <w:tcPr>
          <w:tcW w:w="6400" w:type="dxa"/>
          <w:tcMar>
            <w:top w:w="60" w:type="dxa"/>
            <w:left w:w="100" w:type="dxa"/>
            <w:bottom w:w="60" w:type="dxa"/>
            <w:right w:w="100" w:type="dxa"/>
          </w:tcMar>
          <w:vAlign w:val="center"/>
        </w:tcPr>
        <w:p w14:paraId="6D9E8731" w14:textId="77777777" w:rsidR="005C4A33" w:rsidRDefault="00000000">
          <w:r>
            <w:rPr>
              <w:b/>
              <w:bCs/>
              <w:color w:val="0F3D5C"/>
              <w:sz w:val="15"/>
              <w:szCs w:val="15"/>
            </w:rPr>
            <w:t>UNIVERSIDAD MAYOR REAL Y PONTIFICIA DE SAN FRANCISCO XAVIER DE CHUQUISACA</w:t>
          </w:r>
        </w:p>
        <w:p w14:paraId="75B56360" w14:textId="77777777" w:rsidR="005C4A33" w:rsidRDefault="00000000">
          <w:pPr>
            <w:spacing w:after="40"/>
          </w:pPr>
          <w:r>
            <w:rPr>
              <w:color w:val="5A6B78"/>
              <w:sz w:val="15"/>
              <w:szCs w:val="15"/>
            </w:rPr>
            <w:t>Facultad de Ciencia y Tecnología · COM-600 Microservicios</w:t>
          </w:r>
        </w:p>
      </w:tc>
      <w:tc>
        <w:tcPr>
          <w:tcW w:w="3346" w:type="dxa"/>
          <w:tcMar>
            <w:top w:w="60" w:type="dxa"/>
            <w:left w:w="100" w:type="dxa"/>
            <w:bottom w:w="60" w:type="dxa"/>
            <w:right w:w="100" w:type="dxa"/>
          </w:tcMar>
          <w:vAlign w:val="center"/>
        </w:tcPr>
        <w:p w14:paraId="4AB24E63" w14:textId="77777777" w:rsidR="005C4A33" w:rsidRDefault="00000000">
          <w:pPr>
            <w:jc w:val="right"/>
          </w:pPr>
          <w:proofErr w:type="gramStart"/>
          <w:r>
            <w:rPr>
              <w:b/>
              <w:bCs/>
              <w:color w:val="1F8A7A"/>
              <w:sz w:val="15"/>
              <w:szCs w:val="15"/>
            </w:rPr>
            <w:t>PRÁCTICA N.º</w:t>
          </w:r>
          <w:proofErr w:type="gramEnd"/>
          <w:r>
            <w:rPr>
              <w:b/>
              <w:bCs/>
              <w:color w:val="1F8A7A"/>
              <w:sz w:val="15"/>
              <w:szCs w:val="15"/>
            </w:rPr>
            <w:t xml:space="preserve"> 3</w:t>
          </w:r>
        </w:p>
      </w:tc>
    </w:tr>
  </w:tbl>
  <w:p w14:paraId="0E646382" w14:textId="77777777" w:rsidR="005C4A33" w:rsidRDefault="005C4A33">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4AC9"/>
    <w:multiLevelType w:val="hybridMultilevel"/>
    <w:tmpl w:val="9D8C909E"/>
    <w:lvl w:ilvl="0" w:tplc="895C0CBC">
      <w:start w:val="1"/>
      <w:numFmt w:val="bullet"/>
      <w:lvlText w:val="●"/>
      <w:lvlJc w:val="left"/>
      <w:pPr>
        <w:ind w:left="720" w:hanging="360"/>
      </w:pPr>
    </w:lvl>
    <w:lvl w:ilvl="1" w:tplc="055AA1DE">
      <w:start w:val="1"/>
      <w:numFmt w:val="bullet"/>
      <w:lvlText w:val="○"/>
      <w:lvlJc w:val="left"/>
      <w:pPr>
        <w:ind w:left="1440" w:hanging="360"/>
      </w:pPr>
    </w:lvl>
    <w:lvl w:ilvl="2" w:tplc="36CECCE4">
      <w:start w:val="1"/>
      <w:numFmt w:val="bullet"/>
      <w:lvlText w:val="■"/>
      <w:lvlJc w:val="left"/>
      <w:pPr>
        <w:ind w:left="2160" w:hanging="360"/>
      </w:pPr>
    </w:lvl>
    <w:lvl w:ilvl="3" w:tplc="021427D8">
      <w:start w:val="1"/>
      <w:numFmt w:val="bullet"/>
      <w:lvlText w:val="●"/>
      <w:lvlJc w:val="left"/>
      <w:pPr>
        <w:ind w:left="2880" w:hanging="360"/>
      </w:pPr>
    </w:lvl>
    <w:lvl w:ilvl="4" w:tplc="CF3A99F0">
      <w:start w:val="1"/>
      <w:numFmt w:val="bullet"/>
      <w:lvlText w:val="○"/>
      <w:lvlJc w:val="left"/>
      <w:pPr>
        <w:ind w:left="3600" w:hanging="360"/>
      </w:pPr>
    </w:lvl>
    <w:lvl w:ilvl="5" w:tplc="F34E8EE0">
      <w:start w:val="1"/>
      <w:numFmt w:val="bullet"/>
      <w:lvlText w:val="■"/>
      <w:lvlJc w:val="left"/>
      <w:pPr>
        <w:ind w:left="4320" w:hanging="360"/>
      </w:pPr>
    </w:lvl>
    <w:lvl w:ilvl="6" w:tplc="8F704824">
      <w:start w:val="1"/>
      <w:numFmt w:val="bullet"/>
      <w:lvlText w:val="●"/>
      <w:lvlJc w:val="left"/>
      <w:pPr>
        <w:ind w:left="5040" w:hanging="360"/>
      </w:pPr>
    </w:lvl>
    <w:lvl w:ilvl="7" w:tplc="F75C24FC">
      <w:start w:val="1"/>
      <w:numFmt w:val="bullet"/>
      <w:lvlText w:val="●"/>
      <w:lvlJc w:val="left"/>
      <w:pPr>
        <w:ind w:left="5760" w:hanging="360"/>
      </w:pPr>
    </w:lvl>
    <w:lvl w:ilvl="8" w:tplc="4AA6569C">
      <w:start w:val="1"/>
      <w:numFmt w:val="bullet"/>
      <w:lvlText w:val="●"/>
      <w:lvlJc w:val="left"/>
      <w:pPr>
        <w:ind w:left="6480" w:hanging="360"/>
      </w:pPr>
    </w:lvl>
  </w:abstractNum>
  <w:abstractNum w:abstractNumId="1" w15:restartNumberingAfterBreak="0">
    <w:nsid w:val="5DAF5709"/>
    <w:multiLevelType w:val="hybridMultilevel"/>
    <w:tmpl w:val="8070EEC2"/>
    <w:lvl w:ilvl="0" w:tplc="41BC21BC">
      <w:start w:val="1"/>
      <w:numFmt w:val="decimal"/>
      <w:lvlText w:val="%1."/>
      <w:lvlJc w:val="left"/>
      <w:pPr>
        <w:ind w:left="460" w:hanging="280"/>
      </w:pPr>
    </w:lvl>
    <w:lvl w:ilvl="1" w:tplc="6F34A14E">
      <w:numFmt w:val="decimal"/>
      <w:lvlText w:val=""/>
      <w:lvlJc w:val="left"/>
    </w:lvl>
    <w:lvl w:ilvl="2" w:tplc="C7F0D0B0">
      <w:numFmt w:val="decimal"/>
      <w:lvlText w:val=""/>
      <w:lvlJc w:val="left"/>
    </w:lvl>
    <w:lvl w:ilvl="3" w:tplc="896C631E">
      <w:numFmt w:val="decimal"/>
      <w:lvlText w:val=""/>
      <w:lvlJc w:val="left"/>
    </w:lvl>
    <w:lvl w:ilvl="4" w:tplc="D8086E08">
      <w:numFmt w:val="decimal"/>
      <w:lvlText w:val=""/>
      <w:lvlJc w:val="left"/>
    </w:lvl>
    <w:lvl w:ilvl="5" w:tplc="B3D6AFC2">
      <w:numFmt w:val="decimal"/>
      <w:lvlText w:val=""/>
      <w:lvlJc w:val="left"/>
    </w:lvl>
    <w:lvl w:ilvl="6" w:tplc="5472F978">
      <w:numFmt w:val="decimal"/>
      <w:lvlText w:val=""/>
      <w:lvlJc w:val="left"/>
    </w:lvl>
    <w:lvl w:ilvl="7" w:tplc="1D42DAC2">
      <w:numFmt w:val="decimal"/>
      <w:lvlText w:val=""/>
      <w:lvlJc w:val="left"/>
    </w:lvl>
    <w:lvl w:ilvl="8" w:tplc="D33AFD66">
      <w:numFmt w:val="decimal"/>
      <w:lvlText w:val=""/>
      <w:lvlJc w:val="left"/>
    </w:lvl>
  </w:abstractNum>
  <w:abstractNum w:abstractNumId="2" w15:restartNumberingAfterBreak="0">
    <w:nsid w:val="672B1B42"/>
    <w:multiLevelType w:val="hybridMultilevel"/>
    <w:tmpl w:val="BA82A21A"/>
    <w:lvl w:ilvl="0" w:tplc="33000E22">
      <w:start w:val="1"/>
      <w:numFmt w:val="decimal"/>
      <w:lvlText w:val="%1."/>
      <w:lvlJc w:val="left"/>
      <w:pPr>
        <w:ind w:left="460" w:hanging="280"/>
      </w:pPr>
    </w:lvl>
    <w:lvl w:ilvl="1" w:tplc="6CF4513C">
      <w:numFmt w:val="decimal"/>
      <w:lvlText w:val=""/>
      <w:lvlJc w:val="left"/>
    </w:lvl>
    <w:lvl w:ilvl="2" w:tplc="D7AEE53A">
      <w:numFmt w:val="decimal"/>
      <w:lvlText w:val=""/>
      <w:lvlJc w:val="left"/>
    </w:lvl>
    <w:lvl w:ilvl="3" w:tplc="8DD2561A">
      <w:numFmt w:val="decimal"/>
      <w:lvlText w:val=""/>
      <w:lvlJc w:val="left"/>
    </w:lvl>
    <w:lvl w:ilvl="4" w:tplc="7518BC40">
      <w:numFmt w:val="decimal"/>
      <w:lvlText w:val=""/>
      <w:lvlJc w:val="left"/>
    </w:lvl>
    <w:lvl w:ilvl="5" w:tplc="87C069D6">
      <w:numFmt w:val="decimal"/>
      <w:lvlText w:val=""/>
      <w:lvlJc w:val="left"/>
    </w:lvl>
    <w:lvl w:ilvl="6" w:tplc="CA885150">
      <w:numFmt w:val="decimal"/>
      <w:lvlText w:val=""/>
      <w:lvlJc w:val="left"/>
    </w:lvl>
    <w:lvl w:ilvl="7" w:tplc="F698F174">
      <w:numFmt w:val="decimal"/>
      <w:lvlText w:val=""/>
      <w:lvlJc w:val="left"/>
    </w:lvl>
    <w:lvl w:ilvl="8" w:tplc="B8DC6CDA">
      <w:numFmt w:val="decimal"/>
      <w:lvlText w:val=""/>
      <w:lvlJc w:val="left"/>
    </w:lvl>
  </w:abstractNum>
  <w:num w:numId="1" w16cid:durableId="12534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33"/>
    <w:rsid w:val="00425C6D"/>
    <w:rsid w:val="00486C43"/>
    <w:rsid w:val="005C4A33"/>
    <w:rsid w:val="007E67EF"/>
    <w:rsid w:val="00834582"/>
    <w:rsid w:val="00AB23D1"/>
    <w:rsid w:val="00BC6257"/>
    <w:rsid w:val="00E0143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EF78"/>
  <w15:docId w15:val="{C0D56856-8F8B-4932-AA4E-1B0B6D45F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1738</Words>
  <Characters>9565</Characters>
  <Application>Microsoft Office Word</Application>
  <DocSecurity>0</DocSecurity>
  <Lines>79</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3 — Construcción y consumo de servicios REST — Hoja de Evidencias</dc:title>
  <dc:creator>Montellano Barriga Carlos David</dc:creator>
  <cp:lastModifiedBy>Nisan 1204</cp:lastModifiedBy>
  <cp:revision>2</cp:revision>
  <dcterms:created xsi:type="dcterms:W3CDTF">2026-08-27T21:07:00Z</dcterms:created>
  <dcterms:modified xsi:type="dcterms:W3CDTF">2026-09-03T19:55:00Z</dcterms:modified>
</cp:coreProperties>
</file>