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Risk Log -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Trigger / Early Warning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R2-01</w:t>
            </w:r>
          </w:p>
        </w:tc>
        <w:tc>
          <w:tcPr>
            <w:tcW w:type="dxa" w:w="1337"/>
          </w:tcPr>
          <w:p>
            <w:r>
              <w:t>Incorrect raw stock deduction when completing batches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Negative stock values or mismatch with batch consumption</w:t>
            </w:r>
          </w:p>
        </w:tc>
        <w:tc>
          <w:tcPr>
            <w:tcW w:type="dxa" w:w="1337"/>
          </w:tcPr>
          <w:p>
            <w:r>
              <w:t>Validate consumption payload, transaction-based updates, movement audit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R2-02</w:t>
            </w:r>
          </w:p>
        </w:tc>
        <w:tc>
          <w:tcPr>
            <w:tcW w:type="dxa" w:w="1337"/>
          </w:tcPr>
          <w:p>
            <w:r>
              <w:t>FEFO allocation chooses wrong batch order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Dispatch allocations not matching earliest expiry</w:t>
            </w:r>
          </w:p>
        </w:tc>
        <w:tc>
          <w:tcPr>
            <w:tcW w:type="dxa" w:w="1337"/>
          </w:tcPr>
          <w:p>
            <w:r>
              <w:t>Add deterministic FEFO utility and unit tests (server/tests/fefo.test.ts)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R2-03</w:t>
            </w:r>
          </w:p>
        </w:tc>
        <w:tc>
          <w:tcPr>
            <w:tcW w:type="dxa" w:w="1337"/>
          </w:tcPr>
          <w:p>
            <w:r>
              <w:t>Unauthorized access to owner/employee APIs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Wholesaler can open internal route</w:t>
            </w:r>
          </w:p>
        </w:tc>
        <w:tc>
          <w:tcPr>
            <w:tcW w:type="dxa" w:w="1337"/>
          </w:tcPr>
          <w:p>
            <w:r>
              <w:t>Apply requireAuth + loadUser + requireRole on protected endpoints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R2-04</w:t>
            </w:r>
          </w:p>
        </w:tc>
        <w:tc>
          <w:tcPr>
            <w:tcW w:type="dxa" w:w="1337"/>
          </w:tcPr>
          <w:p>
            <w:r>
              <w:t>Incomplete traceability links between order, dispatch, and batch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Report output missing batch linkage</w:t>
            </w:r>
          </w:p>
        </w:tc>
        <w:tc>
          <w:tcPr>
            <w:tcW w:type="dxa" w:w="1337"/>
          </w:tcPr>
          <w:p>
            <w:r>
              <w:t>Store batchId in finished stock and dispatch allocations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R2-05</w:t>
            </w:r>
          </w:p>
        </w:tc>
        <w:tc>
          <w:tcPr>
            <w:tcW w:type="dxa" w:w="1337"/>
          </w:tcPr>
          <w:p>
            <w:r>
              <w:t>Seed onboarding fails due to missing owner UID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First login blocked for owner account</w:t>
            </w:r>
          </w:p>
        </w:tc>
        <w:tc>
          <w:tcPr>
            <w:tcW w:type="dxa" w:w="1337"/>
          </w:tcPr>
          <w:p>
            <w:r>
              <w:t>Document OWNEREMAIL + OWNERFIREBASE_UID setup and guard in seed script</w:t>
            </w:r>
          </w:p>
        </w:tc>
        <w:tc>
          <w:tcPr>
            <w:tcW w:type="dxa" w:w="1337"/>
          </w:tcPr>
          <w:p>
            <w:r>
              <w:t>Open (controlled)</w:t>
            </w:r>
          </w:p>
        </w:tc>
      </w:tr>
      <w:tr>
        <w:tc>
          <w:tcPr>
            <w:tcW w:type="dxa" w:w="1337"/>
          </w:tcPr>
          <w:p>
            <w:r>
              <w:t>R2-06</w:t>
            </w:r>
          </w:p>
        </w:tc>
        <w:tc>
          <w:tcPr>
            <w:tcW w:type="dxa" w:w="1337"/>
          </w:tcPr>
          <w:p>
            <w:r>
              <w:t>Wide sprint scope reduces QA depth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Last-week bug burst</w:t>
            </w:r>
          </w:p>
        </w:tc>
        <w:tc>
          <w:tcPr>
            <w:tcW w:type="dxa" w:w="1337"/>
          </w:tcPr>
          <w:p>
            <w:r>
              <w:t>Prioritize critical flow tests (GRN, batch, dispatch) and stagger feature freeze</w:t>
            </w:r>
          </w:p>
        </w:tc>
        <w:tc>
          <w:tcPr>
            <w:tcW w:type="dxa" w:w="1337"/>
          </w:tcPr>
          <w:p>
            <w:r>
              <w:t>Partially mitigated</w:t>
            </w:r>
          </w:p>
        </w:tc>
      </w:tr>
    </w:tbl>
    <w:p/>
    <w:p>
      <w:pPr>
        <w:pStyle w:val="Heading2"/>
        <w:spacing w:before="160" w:after="80"/>
      </w:pPr>
      <w:r>
        <w:t>Notes</w:t>
      </w:r>
    </w:p>
    <w:p>
      <w:pPr>
        <w:pStyle w:val="ListBullet"/>
        <w:spacing w:line="336" w:lineRule="auto" w:after="80"/>
      </w:pPr>
      <w:r>
        <w:t>No critical data-loss incident occurred in Sprint 2.</w:t>
      </w:r>
    </w:p>
    <w:p>
      <w:pPr>
        <w:pStyle w:val="ListBullet"/>
        <w:spacing w:line="336" w:lineRule="auto" w:after="80"/>
      </w:pPr>
      <w:r>
        <w:t>Highest residual risk moved to deployment/runtime handling in Sprint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