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Sprint 2 Review and Decisions</w:t>
      </w:r>
    </w:p>
    <w:p>
      <w:pPr>
        <w:pStyle w:val="Heading2"/>
        <w:spacing w:before="160" w:after="80"/>
      </w:pPr>
      <w:r>
        <w:t>Delivered Against Plan</w:t>
      </w:r>
    </w:p>
    <w:p>
      <w:pPr>
        <w:pStyle w:val="ListBullet"/>
        <w:spacing w:line="336" w:lineRule="auto" w:after="80"/>
      </w:pPr>
      <w:r>
        <w:t>Core backend modules implemented under server/src/modules/*.</w:t>
      </w:r>
    </w:p>
    <w:p>
      <w:pPr>
        <w:pStyle w:val="ListBullet"/>
        <w:spacing w:line="336" w:lineRule="auto" w:after="80"/>
      </w:pPr>
      <w:r>
        <w:t>Main UI pages implemented under client/src/pages/*.</w:t>
      </w:r>
    </w:p>
    <w:p>
      <w:pPr>
        <w:pStyle w:val="ListBullet"/>
        <w:spacing w:line="336" w:lineRule="auto" w:after="80"/>
      </w:pPr>
      <w:r>
        <w:t>Seed and initial test structure established for repeatable demos.</w:t>
      </w:r>
    </w:p>
    <w:p>
      <w:pPr>
        <w:pStyle w:val="Heading2"/>
        <w:spacing w:before="160" w:after="80"/>
      </w:pPr>
      <w:r>
        <w:t>Gaps Identified</w:t>
      </w:r>
    </w:p>
    <w:p>
      <w:pPr>
        <w:pStyle w:val="ListBullet"/>
        <w:spacing w:line="336" w:lineRule="auto" w:after="80"/>
      </w:pPr>
      <w:r>
        <w:t>Deployment model and production runtime behavior not fully validated.</w:t>
      </w:r>
    </w:p>
    <w:p>
      <w:pPr>
        <w:pStyle w:val="ListBullet"/>
        <w:spacing w:line="336" w:lineRule="auto" w:after="80"/>
      </w:pPr>
      <w:r>
        <w:t>Need explicit post-deploy diagnostics and environment handling standards.</w:t>
      </w:r>
    </w:p>
    <w:p>
      <w:pPr>
        <w:pStyle w:val="Heading2"/>
        <w:spacing w:before="160" w:after="80"/>
      </w:pPr>
      <w:r>
        <w:t>Decisions for Next Sprint</w:t>
      </w:r>
    </w:p>
    <w:p>
      <w:pPr>
        <w:pStyle w:val="ListNumber"/>
        <w:spacing w:line="336" w:lineRule="auto" w:after="80"/>
      </w:pPr>
      <w:r>
        <w:t>Prioritize deployment readiness over new feature expansion.</w:t>
      </w:r>
    </w:p>
    <w:p>
      <w:pPr>
        <w:pStyle w:val="ListNumber"/>
        <w:spacing w:line="336" w:lineRule="auto" w:after="80"/>
      </w:pPr>
      <w:r>
        <w:t>Introduce dedicated serverless entrypoint and runtime configuration.</w:t>
      </w:r>
    </w:p>
    <w:p>
      <w:pPr>
        <w:pStyle w:val="ListNumber"/>
        <w:spacing w:line="336" w:lineRule="auto" w:after="80"/>
      </w:pPr>
      <w:r>
        <w:t>Track route behavior and environment drift as high-priority risks.</w:t>
      </w:r>
    </w:p>
    <w:p>
      <w:pPr>
        <w:pStyle w:val="Heading2"/>
        <w:spacing w:before="160" w:after="80"/>
      </w:pPr>
      <w:r>
        <w:t>Governance Notes</w:t>
      </w:r>
    </w:p>
    <w:p>
      <w:pPr>
        <w:spacing w:line="360" w:lineRule="auto" w:after="160"/>
      </w:pPr>
      <w:r>
        <w:t>Scope was controlled successfully; quality and risk gates remained active for transition to Sprint 3.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