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6"/>
        </w:rPr>
        <w:t>Sprint 4 Review and Decisions</w:t>
      </w:r>
    </w:p>
    <w:p>
      <w:pPr>
        <w:pStyle w:val="Heading2"/>
        <w:spacing w:before="160" w:after="80"/>
      </w:pPr>
      <w:r>
        <w:t>Closure Summary</w:t>
      </w:r>
    </w:p>
    <w:p>
      <w:pPr>
        <w:pStyle w:val="ListBullet"/>
        <w:spacing w:line="336" w:lineRule="auto" w:after="80"/>
      </w:pPr>
      <w:r>
        <w:t>Production blockers resolved through backend CORS and route hardening.</w:t>
      </w:r>
    </w:p>
    <w:p>
      <w:pPr>
        <w:pStyle w:val="ListBullet"/>
        <w:spacing w:line="336" w:lineRule="auto" w:after="80"/>
      </w:pPr>
      <w:r>
        <w:t>Final UI and reporting gaps closed without breaking core functionality.</w:t>
      </w:r>
    </w:p>
    <w:p>
      <w:pPr>
        <w:pStyle w:val="ListBullet"/>
        <w:spacing w:line="336" w:lineRule="auto" w:after="80"/>
      </w:pPr>
      <w:r>
        <w:t>Build/test/lint gates passed.</w:t>
      </w:r>
    </w:p>
    <w:p>
      <w:pPr>
        <w:pStyle w:val="ListBullet"/>
        <w:spacing w:line="336" w:lineRule="auto" w:after="80"/>
      </w:pPr>
      <w:r>
        <w:t>Role-based documentation completed across Sprint 2-4.</w:t>
      </w:r>
    </w:p>
    <w:p>
      <w:pPr>
        <w:pStyle w:val="Heading2"/>
        <w:spacing w:before="160" w:after="80"/>
      </w:pPr>
      <w:r>
        <w:t>Final Decision Record</w:t>
      </w:r>
    </w:p>
    <w:p>
      <w:pPr>
        <w:pStyle w:val="ListNumber"/>
        <w:spacing w:line="336" w:lineRule="auto" w:after="80"/>
      </w:pPr>
      <w:r>
        <w:t>Approve MVP as demo-ready and submission-ready.</w:t>
      </w:r>
    </w:p>
    <w:p>
      <w:pPr>
        <w:pStyle w:val="ListNumber"/>
        <w:spacing w:line="336" w:lineRule="auto" w:after="80"/>
      </w:pPr>
      <w:r>
        <w:t>Preserve scope boundary; defer non-MVP enhancements.</w:t>
      </w:r>
    </w:p>
    <w:p>
      <w:pPr>
        <w:pStyle w:val="ListNumber"/>
        <w:spacing w:line="336" w:lineRule="auto" w:after="80"/>
      </w:pPr>
      <w:r>
        <w:t>Retain explicit Vercel and env verification steps for future maintenance.</w:t>
      </w:r>
    </w:p>
    <w:p>
      <w:pPr>
        <w:pStyle w:val="Heading2"/>
        <w:spacing w:before="160" w:after="80"/>
      </w:pPr>
      <w:r>
        <w:t>Lessons Learned</w:t>
      </w:r>
    </w:p>
    <w:p>
      <w:pPr>
        <w:pStyle w:val="ListBullet"/>
        <w:spacing w:line="336" w:lineRule="auto" w:after="80"/>
      </w:pPr>
      <w:r>
        <w:t>Deployment behavior must be validated as early as feature behavior.</w:t>
      </w:r>
    </w:p>
    <w:p>
      <w:pPr>
        <w:pStyle w:val="ListBullet"/>
        <w:spacing w:line="336" w:lineRule="auto" w:after="80"/>
      </w:pPr>
      <w:r>
        <w:t>CORS and route diagnostics should be part of standard release checklist.</w:t>
      </w:r>
    </w:p>
    <w:p>
      <w:pPr>
        <w:pStyle w:val="ListBullet"/>
        <w:spacing w:line="336" w:lineRule="auto" w:after="80"/>
      </w:pPr>
      <w:r>
        <w:t>Role-based ownership improves traceability of decisions and outcomes.</w:t>
      </w:r>
    </w:p>
    <w:p>
      <w:pPr>
        <w:pStyle w:val="Heading2"/>
        <w:spacing w:before="160" w:after="80"/>
      </w:pPr>
      <w:r>
        <w:t>Post-Submission Recommendation</w:t>
      </w:r>
    </w:p>
    <w:p>
      <w:pPr>
        <w:spacing w:line="360" w:lineRule="auto" w:after="160"/>
      </w:pPr>
      <w:r>
        <w:t>Track future enhancements in a separate backlog (credit handling, advanced analytics, and richer export/reporting).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