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after="80"/>
      </w:pPr>
      <w:r>
        <w:rPr>
          <w:rFonts w:ascii="Arial Black" w:hAnsi="Arial Black"/>
          <w:b/>
          <w:color w:val="0F766E"/>
          <w:sz w:val="48"/>
        </w:rPr>
        <w:t>HEALTHMITRA (हेल्थ मित्र)</w:t>
      </w:r>
    </w:p>
    <w:p>
      <w:pPr>
        <w:spacing w:before="0" w:after="280"/>
      </w:pPr>
      <w:r>
        <w:rPr>
          <w:rFonts w:ascii="Arial" w:hAnsi="Arial"/>
          <w:color w:val="1E293B"/>
          <w:sz w:val="24"/>
        </w:rPr>
        <w:t>Autonomous Healthcare Intelligence, Multimodal Clinical Triage &amp; Dual-Role Medication Adherence Synchronization Platform</w:t>
      </w:r>
    </w:p>
    <w:tbl>
      <w:tblPr>
        <w:tblW w:type="auto" w:w="0"/>
        <w:jc w:val="center"/>
        <w:tblLook w:firstColumn="1" w:firstRow="1" w:lastColumn="0" w:lastRow="0" w:noHBand="0" w:noVBand="1" w:val="04A0"/>
      </w:tblPr>
      <w:tblGrid>
        <w:gridCol w:w="10080"/>
      </w:tblGrid>
      <w:tr>
        <w:tc>
          <w:tcPr>
            <w:tcW w:type="dxa" w:w="9792"/>
            <w:shd w:fill="F8FAFC"/>
            <w:tcMar>
              <w:top w:w="140" w:type="dxa"/>
              <w:bottom w:w="140" w:type="dxa"/>
              <w:left w:w="180" w:type="dxa"/>
              <w:right w:w="180" w:type="dxa"/>
            </w:tcMar>
            <w:tcBorders>
              <w:left w:val="single" w:sz="30" w:space="0" w:color="0F766E"/>
              <w:top w:val="single" w:sz="4" w:space="0" w:color="CBD5E1"/>
              <w:right w:val="single" w:sz="4" w:space="0" w:color="CBD5E1"/>
              <w:bottom w:val="single" w:sz="4" w:space="0" w:color="CBD5E1"/>
            </w:tcBorders>
          </w:tcPr>
          <w:p>
            <w:pPr>
              <w:spacing w:before="40" w:after="40" w:line="288" w:lineRule="auto"/>
            </w:pPr>
            <w:r>
              <w:rPr>
                <w:rFonts w:ascii="Arial" w:hAnsi="Arial"/>
                <w:b/>
                <w:color w:val="0F766E"/>
                <w:sz w:val="21"/>
              </w:rPr>
              <w:t>TECHNICAL SPECIFICATION &amp; ENGINEERING AUDIT REPORT</w:t>
              <w:br/>
            </w:r>
            <w:r>
              <w:rPr>
                <w:rFonts w:ascii="Calibri" w:hAnsi="Calibri"/>
                <w:color w:val="64748B"/>
                <w:sz w:val="19"/>
              </w:rPr>
              <w:t>• System Version: v2.5.0 Production Candidate (Three-Tier Restructured Architecture)</w:t>
              <w:br/>
              <w:t>• Architecture Model: Dual-Role Synchronized SPA (React 18 + Express API + PostgreSQL 16)</w:t>
              <w:br/>
              <w:t>• Multimodal AI Engines: Google Gemini 3 Multimodal Vision + Meta Llama 3.3 70B (Groq Cloud)</w:t>
              <w:br/>
              <w:t>• Offline Subsystems: Tesseract.js Optical Character Recognition + HTML5 Web Audio Synthesizer</w:t>
              <w:br/>
              <w:t>• Deployment Targets: /Users/nisarg/Desktop/healthmithra &amp; GitHub (main branch: 218eb9d)</w:t>
              <w:br/>
              <w:t>• Security &amp; Flaw Audit: Declassified Technical Review covering 7 Failure Domains</w:t>
            </w:r>
          </w:p>
        </w:tc>
      </w:tr>
    </w:tbl>
    <w:p>
      <w:pPr>
        <w:spacing w:after="160"/>
      </w:pPr>
    </w:p>
    <w:p>
      <w:pPr>
        <w:keepNext/>
        <w:spacing w:before="360" w:after="120"/>
      </w:pPr>
      <w:r>
        <w:rPr>
          <w:rFonts w:ascii="Arial" w:hAnsi="Arial"/>
          <w:b/>
          <w:color w:val="0F766E"/>
          <w:sz w:val="31"/>
        </w:rPr>
        <w:t>1. Executive Summary &amp; Problem Formulation</w:t>
      </w:r>
    </w:p>
    <w:p>
      <w:pPr>
        <w:spacing w:before="0" w:after="100" w:line="276" w:lineRule="auto"/>
      </w:pPr>
      <w:r>
        <w:rPr>
          <w:rFonts w:ascii="Calibri" w:hAnsi="Calibri"/>
          <w:b/>
          <w:color w:val="1E293B"/>
          <w:sz w:val="21"/>
        </w:rPr>
        <w:t xml:space="preserve">The Geriatric Non-Adherence Crisis: </w:t>
      </w:r>
      <w:r>
        <w:rPr>
          <w:rFonts w:ascii="Calibri" w:hAnsi="Calibri"/>
          <w:i w:val="0"/>
          <w:color w:val="1E293B"/>
          <w:sz w:val="21"/>
        </w:rPr>
        <w:t>Geriatric chronic disease management is severely compromised worldwide by a systemic breakdown in patient medication adherence. Clinical epidemiological studies consistently document that over 50% of elderly patients diagnosed with chronic comorbidities (such as Type-2 Diabetes Mellitus, Stage-1/2 Essential Hypertension, Chronic Kidney Disease, and Ischemic Heart Disease) fail to take their prescribed pharmacological therapies as scheduled. This non-adherence leads directly to disease acceleration, preventable hospitalizations, acute metabolic decompensation (such as diabetic hyperosmolar crises and hypertensive emergencies), and multi-billion dollar economic burdens on domestic healthcare systems.</w:t>
      </w:r>
    </w:p>
    <w:p>
      <w:pPr>
        <w:spacing w:before="0" w:after="100" w:line="276" w:lineRule="auto"/>
      </w:pPr>
      <w:r>
        <w:rPr>
          <w:rFonts w:ascii="Calibri" w:hAnsi="Calibri"/>
          <w:b/>
          <w:color w:val="1E293B"/>
          <w:sz w:val="21"/>
        </w:rPr>
        <w:t xml:space="preserve">The Open-Loop Failure Pattern: </w:t>
      </w:r>
      <w:r>
        <w:rPr>
          <w:rFonts w:ascii="Calibri" w:hAnsi="Calibri"/>
          <w:i w:val="0"/>
          <w:color w:val="1E293B"/>
          <w:sz w:val="21"/>
        </w:rPr>
        <w:t>A critical root cause of this failure is that conventional reminder mechanisms (smart alarms, push notification schedulers, and calendar alerts) operate entirely in an open loop. A reminder rings on a phone or tablet; if the elder does not hear it due to presbycusis, dismisses it accidentally owing to fine motor tremor, or suffers from mild cognitive impairment, the reminder expires into silence. The remote family caregiver—who typically lives in a different city or works demanding corporate hours—has zero visibility into whether the medication was actually ingested or merely ignored. This structural opacity generates chronic, debilitating caregiver anxiety and results in repetitive, friction-heavy daily telephone calls that erode the elder's dignity.</w:t>
      </w:r>
    </w:p>
    <w:p>
      <w:pPr>
        <w:spacing w:before="0" w:after="100" w:line="276" w:lineRule="auto"/>
      </w:pPr>
      <w:r>
        <w:rPr>
          <w:rFonts w:ascii="Calibri" w:hAnsi="Calibri"/>
          <w:b/>
          <w:color w:val="1E293B"/>
          <w:sz w:val="21"/>
        </w:rPr>
        <w:t xml:space="preserve">The HealthMitra Autonomous Solution: </w:t>
      </w:r>
      <w:r>
        <w:rPr>
          <w:rFonts w:ascii="Calibri" w:hAnsi="Calibri"/>
          <w:i w:val="0"/>
          <w:color w:val="1E293B"/>
          <w:sz w:val="21"/>
        </w:rPr>
        <w:t>HealthMitra fundamentally re-engineers this paradigm into an autonomous, closed-loop telemetry ecosystem. By combining high-contrast accessible web engineering, bilingual voice synthesis (English and Hindi), low-latency multimodal artificial intelligence (Google Gemini 3 Vision and Groq Cloud Meta Llama 3.3 70B), and real-time inter-process alarm synchronization (HTML5 BroadcastChannel IPC and automated cron escalation), HealthMitra guarantees that every scheduled dose is actively acknowledged, optically verified, or escalated to caregivers within a deterministic 15-minute clinical safety window.</w:t>
      </w:r>
    </w:p>
    <w:tbl>
      <w:tblPr>
        <w:tblW w:type="auto" w:w="0"/>
        <w:jc w:val="center"/>
        <w:tblLayout w:type="fixed"/>
        <w:tblLook w:firstColumn="1" w:firstRow="1" w:lastColumn="0" w:lastRow="0" w:noHBand="0" w:noVBand="1" w:val="04A0"/>
      </w:tblPr>
      <w:tblGrid>
        <w:gridCol w:w="10080"/>
      </w:tblGrid>
      <w:tr>
        <w:tc>
          <w:tcPr>
            <w:tcW w:type="dxa" w:w="9792"/>
            <w:shd w:fill="F0FDFA"/>
            <w:tcMar>
              <w:top w:w="120" w:type="dxa"/>
              <w:bottom w:w="120" w:type="dxa"/>
              <w:left w:w="180" w:type="dxa"/>
              <w:right w:w="180" w:type="dxa"/>
            </w:tcMar>
            <w:tcBorders>
              <w:left w:val="single" w:sz="24" w:space="0" w:color="0F766E"/>
              <w:top w:val="none"/>
              <w:right w:val="none"/>
              <w:bottom w:val="none"/>
            </w:tcBorders>
          </w:tcPr>
          <w:p>
            <w:pPr>
              <w:spacing w:before="40" w:after="40" w:line="276" w:lineRule="auto"/>
            </w:pPr>
            <w:r>
              <w:rPr>
                <w:rFonts w:ascii="Calibri" w:hAnsi="Calibri"/>
                <w:b/>
                <w:color w:val="0F766E"/>
                <w:sz w:val="20"/>
              </w:rPr>
              <w:t xml:space="preserve">CORE CLINICAL MISSION: </w:t>
            </w:r>
            <w:r>
              <w:rPr>
                <w:rFonts w:ascii="Calibri" w:hAnsi="Calibri"/>
                <w:i/>
                <w:color w:val="1E293B"/>
                <w:sz w:val="20"/>
              </w:rPr>
              <w:t>HealthMitra's core engineering doctrine is: 'Remind the patient gently, verify ingestion objectively, alert the family instantly, and escalate emergencies autonomously.' The system treats medication adherence not as a personal calendar item, but as a life-critical distributed telemetry event.</w:t>
            </w:r>
          </w:p>
        </w:tc>
      </w:tr>
    </w:tbl>
    <w:p>
      <w:pPr>
        <w:spacing w:after="80"/>
      </w:pPr>
    </w:p>
    <w:p>
      <w:pPr>
        <w:keepNext/>
        <w:spacing w:before="360" w:after="120"/>
      </w:pPr>
      <w:r>
        <w:rPr>
          <w:rFonts w:ascii="Arial" w:hAnsi="Arial"/>
          <w:b/>
          <w:color w:val="0F766E"/>
          <w:sz w:val="31"/>
        </w:rPr>
        <w:t>2. Target Personas &amp; Operational Ergonomics</w:t>
      </w:r>
    </w:p>
    <w:p>
      <w:pPr>
        <w:spacing w:before="0" w:after="100" w:line="276" w:lineRule="auto"/>
      </w:pPr>
      <w:r>
        <w:rPr>
          <w:rFonts w:ascii="Calibri" w:hAnsi="Calibri"/>
          <w:i w:val="0"/>
          <w:color w:val="1E293B"/>
          <w:sz w:val="21"/>
        </w:rPr>
        <w:t>To bridge the generational digital divide, HealthMitra is architected as an asymmetric dual-experience platform. A single unified codebase dynamically alters its interface density, sensory feedback, typography, and interactive touch targets depending on the authenticated role:</w:t>
      </w:r>
    </w:p>
    <w:p>
      <w:pPr>
        <w:keepNext/>
        <w:spacing w:before="260" w:after="80"/>
      </w:pPr>
      <w:r>
        <w:rPr>
          <w:rFonts w:ascii="Arial" w:hAnsi="Arial"/>
          <w:b/>
          <w:color w:val="1E293B"/>
          <w:sz w:val="25"/>
        </w:rPr>
        <w:t>Persona 1: The Geriatric Patient (Meera Shah, Age 62)</w:t>
      </w:r>
    </w:p>
    <w:p>
      <w:pPr>
        <w:pStyle w:val="ListBullet"/>
        <w:spacing w:before="0" w:after="60" w:line="276" w:lineRule="auto"/>
      </w:pPr>
      <w:r>
        <w:rPr>
          <w:rFonts w:ascii="Calibri" w:hAnsi="Calibri"/>
          <w:b/>
          <w:color w:val="1E293B"/>
          <w:sz w:val="21"/>
        </w:rPr>
        <w:t xml:space="preserve">Clinical Profile: </w:t>
      </w:r>
      <w:r>
        <w:rPr>
          <w:rFonts w:ascii="Calibri" w:hAnsi="Calibri"/>
          <w:color w:val="1E293B"/>
          <w:sz w:val="21"/>
        </w:rPr>
        <w:t>Diagnosed with Type-2 Diabetes Mellitus (managed on Metformin 500mg BID and Glimepiride 1mg OD), Essential Hypertension (Amlodipine 5mg OD), and mild Osteoarthritis.</w:t>
      </w:r>
    </w:p>
    <w:p>
      <w:pPr>
        <w:pStyle w:val="ListBullet"/>
        <w:spacing w:before="0" w:after="60" w:line="276" w:lineRule="auto"/>
      </w:pPr>
      <w:r>
        <w:rPr>
          <w:rFonts w:ascii="Calibri" w:hAnsi="Calibri"/>
          <w:b/>
          <w:color w:val="1E293B"/>
          <w:sz w:val="21"/>
        </w:rPr>
        <w:t xml:space="preserve">Physical Constraints: </w:t>
      </w:r>
      <w:r>
        <w:rPr>
          <w:rFonts w:ascii="Calibri" w:hAnsi="Calibri"/>
          <w:color w:val="1E293B"/>
          <w:sz w:val="21"/>
        </w:rPr>
        <w:t>Moderate presbyopia (requires +2.5D reading glasses), slight intention tremors in dominant hand, mild age-related high-frequency hearing loss.</w:t>
      </w:r>
    </w:p>
    <w:p>
      <w:pPr>
        <w:pStyle w:val="ListBullet"/>
        <w:spacing w:before="0" w:after="60" w:line="276" w:lineRule="auto"/>
      </w:pPr>
      <w:r>
        <w:rPr>
          <w:rFonts w:ascii="Calibri" w:hAnsi="Calibri"/>
          <w:b/>
          <w:color w:val="1E293B"/>
          <w:sz w:val="21"/>
        </w:rPr>
        <w:t xml:space="preserve">Cognitive &amp; Language Profile: </w:t>
      </w:r>
      <w:r>
        <w:rPr>
          <w:rFonts w:ascii="Calibri" w:hAnsi="Calibri"/>
          <w:color w:val="1E293B"/>
          <w:sz w:val="21"/>
        </w:rPr>
        <w:t>Comfortable with spoken Hindustani (Hindi/English blend) but dislikes dense English medical typography. Experiences technology anxiety when confronted with complex menus, tiny modal buttons, or deep multi-step wizards.</w:t>
      </w:r>
    </w:p>
    <w:p>
      <w:pPr>
        <w:pStyle w:val="ListBullet"/>
        <w:spacing w:before="0" w:after="60" w:line="276" w:lineRule="auto"/>
      </w:pPr>
      <w:r>
        <w:rPr>
          <w:rFonts w:ascii="Calibri" w:hAnsi="Calibri"/>
          <w:b/>
          <w:color w:val="1E293B"/>
          <w:sz w:val="21"/>
        </w:rPr>
        <w:t xml:space="preserve">Architectural Accommodations: </w:t>
      </w:r>
      <w:r>
        <w:rPr>
          <w:rFonts w:ascii="Calibri" w:hAnsi="Calibri"/>
          <w:color w:val="1E293B"/>
          <w:sz w:val="21"/>
        </w:rPr>
        <w:t>Requires giant touch targets (minimum 48x48px, ideally full-width buttons), loud acoustic sirens accompanied by vocal Hindi announcements, one-tap dose acknowledgment, and optical verification for look-alike pills.</w:t>
      </w:r>
    </w:p>
    <w:p>
      <w:pPr>
        <w:keepNext/>
        <w:spacing w:before="260" w:after="80"/>
      </w:pPr>
      <w:r>
        <w:rPr>
          <w:rFonts w:ascii="Arial" w:hAnsi="Arial"/>
          <w:b/>
          <w:color w:val="1E293B"/>
          <w:sz w:val="25"/>
        </w:rPr>
        <w:t>Persona 2: The Remote Family Caregiver (Arjun Shah, Age 34)</w:t>
      </w:r>
    </w:p>
    <w:p>
      <w:pPr>
        <w:pStyle w:val="ListBullet"/>
        <w:spacing w:before="0" w:after="60" w:line="276" w:lineRule="auto"/>
      </w:pPr>
      <w:r>
        <w:rPr>
          <w:rFonts w:ascii="Calibri" w:hAnsi="Calibri"/>
          <w:b/>
          <w:color w:val="1E293B"/>
          <w:sz w:val="21"/>
        </w:rPr>
        <w:t xml:space="preserve">Socio-Professional Profile: </w:t>
      </w:r>
      <w:r>
        <w:rPr>
          <w:rFonts w:ascii="Calibri" w:hAnsi="Calibri"/>
          <w:color w:val="1E293B"/>
          <w:sz w:val="21"/>
        </w:rPr>
        <w:t>Working professional residing in a metropolitan hub 800 km away from his parents; experiences constant background guilt and worry regarding his mother's health and adherence.</w:t>
      </w:r>
    </w:p>
    <w:p>
      <w:pPr>
        <w:pStyle w:val="ListBullet"/>
        <w:spacing w:before="0" w:after="60" w:line="276" w:lineRule="auto"/>
      </w:pPr>
      <w:r>
        <w:rPr>
          <w:rFonts w:ascii="Calibri" w:hAnsi="Calibri"/>
          <w:b/>
          <w:color w:val="1E293B"/>
          <w:sz w:val="21"/>
        </w:rPr>
        <w:t xml:space="preserve">Functional Requirements: </w:t>
      </w:r>
      <w:r>
        <w:rPr>
          <w:rFonts w:ascii="Calibri" w:hAnsi="Calibri"/>
          <w:color w:val="1E293B"/>
          <w:sz w:val="21"/>
        </w:rPr>
        <w:t>Requires real-time telemetry: daily dose confirmation logs, 7-day adherence charts, missed-dose escalation alerts, remote medication schedule editing authority, and instant SOS emergency dispatch.</w:t>
      </w:r>
    </w:p>
    <w:p>
      <w:pPr>
        <w:pStyle w:val="ListBullet"/>
        <w:spacing w:before="0" w:after="60" w:line="276" w:lineRule="auto"/>
      </w:pPr>
      <w:r>
        <w:rPr>
          <w:rFonts w:ascii="Calibri" w:hAnsi="Calibri"/>
          <w:b/>
          <w:color w:val="1E293B"/>
          <w:sz w:val="21"/>
        </w:rPr>
        <w:t xml:space="preserve">UI/UX Expectations: </w:t>
      </w:r>
      <w:r>
        <w:rPr>
          <w:rFonts w:ascii="Calibri" w:hAnsi="Calibri"/>
          <w:color w:val="1E293B"/>
          <w:sz w:val="21"/>
        </w:rPr>
        <w:t>Needs high-density desktop information architecture, instant visual differentiation between taken, pending, and missed doses, and zero-latency alarm dismissal when his mother takes her medicine.</w:t>
      </w:r>
    </w:p>
    <w:p>
      <w:r>
        <w:br w:type="page"/>
      </w:r>
    </w:p>
    <w:p>
      <w:pPr>
        <w:keepNext/>
        <w:spacing w:before="360" w:after="120"/>
      </w:pPr>
      <w:r>
        <w:rPr>
          <w:rFonts w:ascii="Arial" w:hAnsi="Arial"/>
          <w:b/>
          <w:color w:val="0F766E"/>
          <w:sz w:val="31"/>
        </w:rPr>
        <w:t>3. Comprehensive Software Stack &amp; Tooling Inventory</w:t>
      </w:r>
    </w:p>
    <w:p>
      <w:pPr>
        <w:spacing w:before="0" w:after="100" w:line="276" w:lineRule="auto"/>
      </w:pPr>
      <w:r>
        <w:rPr>
          <w:rFonts w:ascii="Calibri" w:hAnsi="Calibri"/>
          <w:i w:val="0"/>
          <w:color w:val="1E293B"/>
          <w:sz w:val="21"/>
        </w:rPr>
        <w:t>HealthMitra's production architecture represents a modern, lightweight, highly performant full-stack JavaScript and Node.js topology. The following table provides an exhaustive technical inventory of every language, runtime, framework, library, and development tool utilized across the ecosystem:</w:t>
      </w:r>
    </w:p>
    <w:tbl>
      <w:tblPr>
        <w:tblW w:type="auto" w:w="0"/>
        <w:jc w:val="center"/>
        <w:tblLayout w:type="fixed"/>
        <w:tblLook w:firstColumn="1" w:firstRow="1" w:lastColumn="0" w:lastRow="0" w:noHBand="0" w:noVBand="1" w:val="04A0"/>
      </w:tblPr>
      <w:tblGrid>
        <w:gridCol w:w="2520"/>
        <w:gridCol w:w="2520"/>
        <w:gridCol w:w="2520"/>
        <w:gridCol w:w="2520"/>
      </w:tblGrid>
      <w:tr>
        <w:trPr>
          <w:cantSplit/>
        </w:trPr>
        <w:tc>
          <w:tcPr>
            <w:tcW w:type="dxa" w:w="1872"/>
            <w:shd w:fill="1E293B"/>
            <w:tcMar>
              <w:top w:w="90" w:type="dxa"/>
              <w:bottom w:w="90" w:type="dxa"/>
              <w:left w:w="120" w:type="dxa"/>
              <w:right w:w="120" w:type="dxa"/>
            </w:tcMar>
            <w:tcBorders>
              <w:top w:val="single" w:sz="4" w:space="0" w:color="E2E8F0"/>
              <w:bottom w:val="single" w:sz="4" w:space="0" w:color="E2E8F0"/>
              <w:left w:val="none"/>
              <w:right w:val="none"/>
            </w:tcBorders>
          </w:tcPr>
          <w:p>
            <w:pPr>
              <w:jc w:val="left"/>
            </w:pPr>
            <w:r>
              <w:rPr>
                <w:rFonts w:ascii="Arial" w:hAnsi="Arial"/>
                <w:b/>
                <w:color w:val="FFFFFF"/>
                <w:sz w:val="19"/>
              </w:rPr>
              <w:t>Layer / Subsystem</w:t>
            </w:r>
          </w:p>
        </w:tc>
        <w:tc>
          <w:tcPr>
            <w:tcW w:type="dxa" w:w="2016"/>
            <w:shd w:fill="1E293B"/>
            <w:tcMar>
              <w:top w:w="90" w:type="dxa"/>
              <w:bottom w:w="90" w:type="dxa"/>
              <w:left w:w="120" w:type="dxa"/>
              <w:right w:w="120" w:type="dxa"/>
            </w:tcMar>
            <w:tcBorders>
              <w:top w:val="single" w:sz="4" w:space="0" w:color="E2E8F0"/>
              <w:bottom w:val="single" w:sz="4" w:space="0" w:color="E2E8F0"/>
              <w:left w:val="none"/>
              <w:right w:val="none"/>
            </w:tcBorders>
          </w:tcPr>
          <w:p>
            <w:pPr>
              <w:jc w:val="left"/>
            </w:pPr>
            <w:r>
              <w:rPr>
                <w:rFonts w:ascii="Arial" w:hAnsi="Arial"/>
                <w:b/>
                <w:color w:val="FFFFFF"/>
                <w:sz w:val="19"/>
              </w:rPr>
              <w:t>Technology / Tool</w:t>
            </w:r>
          </w:p>
        </w:tc>
        <w:tc>
          <w:tcPr>
            <w:tcW w:type="dxa" w:w="1296"/>
            <w:shd w:fill="1E293B"/>
            <w:tcMar>
              <w:top w:w="90" w:type="dxa"/>
              <w:bottom w:w="90" w:type="dxa"/>
              <w:left w:w="120" w:type="dxa"/>
              <w:right w:w="120" w:type="dxa"/>
            </w:tcMar>
            <w:tcBorders>
              <w:top w:val="single" w:sz="4" w:space="0" w:color="E2E8F0"/>
              <w:bottom w:val="single" w:sz="4" w:space="0" w:color="E2E8F0"/>
              <w:left w:val="none"/>
              <w:right w:val="none"/>
            </w:tcBorders>
          </w:tcPr>
          <w:p>
            <w:pPr>
              <w:jc w:val="left"/>
            </w:pPr>
            <w:r>
              <w:rPr>
                <w:rFonts w:ascii="Arial" w:hAnsi="Arial"/>
                <w:b/>
                <w:color w:val="FFFFFF"/>
                <w:sz w:val="19"/>
              </w:rPr>
              <w:t>Exact Version</w:t>
            </w:r>
          </w:p>
        </w:tc>
        <w:tc>
          <w:tcPr>
            <w:tcW w:type="dxa" w:w="4608"/>
            <w:shd w:fill="1E293B"/>
            <w:tcMar>
              <w:top w:w="90" w:type="dxa"/>
              <w:bottom w:w="90" w:type="dxa"/>
              <w:left w:w="120" w:type="dxa"/>
              <w:right w:w="120" w:type="dxa"/>
            </w:tcMar>
            <w:tcBorders>
              <w:top w:val="single" w:sz="4" w:space="0" w:color="E2E8F0"/>
              <w:bottom w:val="single" w:sz="4" w:space="0" w:color="E2E8F0"/>
              <w:left w:val="none"/>
              <w:right w:val="none"/>
            </w:tcBorders>
          </w:tcPr>
          <w:p>
            <w:pPr>
              <w:jc w:val="left"/>
            </w:pPr>
            <w:r>
              <w:rPr>
                <w:rFonts w:ascii="Arial" w:hAnsi="Arial"/>
                <w:b/>
                <w:color w:val="FFFFFF"/>
                <w:sz w:val="19"/>
              </w:rPr>
              <w:t>Architectural Role &amp; Engineering Rationale</w:t>
            </w:r>
          </w:p>
        </w:tc>
      </w:tr>
      <w:tr>
        <w:trPr>
          <w:cantSplit/>
        </w:trPr>
        <w:tc>
          <w:tcPr>
            <w:tcW w:type="dxa" w:w="1872"/>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Runtime Environment</w:t>
            </w:r>
          </w:p>
        </w:tc>
        <w:tc>
          <w:tcPr>
            <w:tcW w:type="dxa" w:w="201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Node.js (Active LTS)</w:t>
            </w:r>
          </w:p>
        </w:tc>
        <w:tc>
          <w:tcPr>
            <w:tcW w:type="dxa" w:w="129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v24.2.0+</w:t>
            </w:r>
          </w:p>
        </w:tc>
        <w:tc>
          <w:tcPr>
            <w:tcW w:type="dxa" w:w="4608"/>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Underlying V8 asynchronous event-driven JavaScript execution engine across backend services and tooling.</w:t>
            </w:r>
          </w:p>
        </w:tc>
      </w:tr>
      <w:tr>
        <w:trPr>
          <w:cantSplit/>
        </w:trPr>
        <w:tc>
          <w:tcPr>
            <w:tcW w:type="dxa" w:w="1872"/>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Client Framework</w:t>
            </w:r>
          </w:p>
        </w:tc>
        <w:tc>
          <w:tcPr>
            <w:tcW w:type="dxa" w:w="201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React</w:t>
            </w:r>
          </w:p>
        </w:tc>
        <w:tc>
          <w:tcPr>
            <w:tcW w:type="dxa" w:w="129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v18.3.1</w:t>
            </w:r>
          </w:p>
        </w:tc>
        <w:tc>
          <w:tcPr>
            <w:tcW w:type="dxa" w:w="4608"/>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Component-driven declarative UI library utilizing concurrent rendering, synthetic event delegation, and reactive hooks.</w:t>
            </w:r>
          </w:p>
        </w:tc>
      </w:tr>
      <w:tr>
        <w:trPr>
          <w:cantSplit/>
        </w:trPr>
        <w:tc>
          <w:tcPr>
            <w:tcW w:type="dxa" w:w="1872"/>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Frontend Bundler</w:t>
            </w:r>
          </w:p>
        </w:tc>
        <w:tc>
          <w:tcPr>
            <w:tcW w:type="dxa" w:w="201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Vite</w:t>
            </w:r>
          </w:p>
        </w:tc>
        <w:tc>
          <w:tcPr>
            <w:tcW w:type="dxa" w:w="129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v6.4.3</w:t>
            </w:r>
          </w:p>
        </w:tc>
        <w:tc>
          <w:tcPr>
            <w:tcW w:type="dxa" w:w="4608"/>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Next-generation ESM native build toolchain providing sub-300ms Hot Module Replacement (HMR) and optimized Rollup tree-shaking.</w:t>
            </w:r>
          </w:p>
        </w:tc>
      </w:tr>
      <w:tr>
        <w:trPr>
          <w:cantSplit/>
        </w:trPr>
        <w:tc>
          <w:tcPr>
            <w:tcW w:type="dxa" w:w="1872"/>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Backend HTTP Server</w:t>
            </w:r>
          </w:p>
        </w:tc>
        <w:tc>
          <w:tcPr>
            <w:tcW w:type="dxa" w:w="201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Express.js</w:t>
            </w:r>
          </w:p>
        </w:tc>
        <w:tc>
          <w:tcPr>
            <w:tcW w:type="dxa" w:w="129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v4.21.2</w:t>
            </w:r>
          </w:p>
        </w:tc>
        <w:tc>
          <w:tcPr>
            <w:tcW w:type="dxa" w:w="4608"/>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Minimalist, unopinionated routing gateway handling middleware pipelines, JSON serialization, and static production serving.</w:t>
            </w:r>
          </w:p>
        </w:tc>
      </w:tr>
      <w:tr>
        <w:trPr>
          <w:cantSplit/>
        </w:trPr>
        <w:tc>
          <w:tcPr>
            <w:tcW w:type="dxa" w:w="1872"/>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Relational Database</w:t>
            </w:r>
          </w:p>
        </w:tc>
        <w:tc>
          <w:tcPr>
            <w:tcW w:type="dxa" w:w="201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PostgreSQL</w:t>
            </w:r>
          </w:p>
        </w:tc>
        <w:tc>
          <w:tcPr>
            <w:tcW w:type="dxa" w:w="129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v16.3-alpine</w:t>
            </w:r>
          </w:p>
        </w:tc>
        <w:tc>
          <w:tcPr>
            <w:tcW w:type="dxa" w:w="4608"/>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ACID-compliant relational database engine enforcing foreign key integrity, transactional isolation, and relational query plans.</w:t>
            </w:r>
          </w:p>
        </w:tc>
      </w:tr>
      <w:tr>
        <w:trPr>
          <w:cantSplit/>
        </w:trPr>
        <w:tc>
          <w:tcPr>
            <w:tcW w:type="dxa" w:w="1872"/>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Database Driver</w:t>
            </w:r>
          </w:p>
        </w:tc>
        <w:tc>
          <w:tcPr>
            <w:tcW w:type="dxa" w:w="201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pg (node-postgres)</w:t>
            </w:r>
          </w:p>
        </w:tc>
        <w:tc>
          <w:tcPr>
            <w:tcW w:type="dxa" w:w="129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v8.23.0</w:t>
            </w:r>
          </w:p>
        </w:tc>
        <w:tc>
          <w:tcPr>
            <w:tcW w:type="dxa" w:w="4608"/>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Non-blocking PostgreSQL client for Node.js utilizing enterprise connection pooling, prepared statements, and transaction blocks.</w:t>
            </w:r>
          </w:p>
        </w:tc>
      </w:tr>
      <w:tr>
        <w:trPr>
          <w:cantSplit/>
        </w:trPr>
        <w:tc>
          <w:tcPr>
            <w:tcW w:type="dxa" w:w="1872"/>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Cloud LLM Engine</w:t>
            </w:r>
          </w:p>
        </w:tc>
        <w:tc>
          <w:tcPr>
            <w:tcW w:type="dxa" w:w="201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Groq Cloud API (Llama 3.3)</w:t>
            </w:r>
          </w:p>
        </w:tc>
        <w:tc>
          <w:tcPr>
            <w:tcW w:type="dxa" w:w="129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70B Versatile</w:t>
            </w:r>
          </w:p>
        </w:tc>
        <w:tc>
          <w:tcPr>
            <w:tcW w:type="dxa" w:w="4608"/>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Hardware-accelerated LPU inference engine streaming conversational clinical intelligence at over 300 tokens/sec.</w:t>
            </w:r>
          </w:p>
        </w:tc>
      </w:tr>
      <w:tr>
        <w:trPr>
          <w:cantSplit/>
        </w:trPr>
        <w:tc>
          <w:tcPr>
            <w:tcW w:type="dxa" w:w="1872"/>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Multimodal Vision AI</w:t>
            </w:r>
          </w:p>
        </w:tc>
        <w:tc>
          <w:tcPr>
            <w:tcW w:type="dxa" w:w="201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Google Gemini 3 Preview</w:t>
            </w:r>
          </w:p>
        </w:tc>
        <w:tc>
          <w:tcPr>
            <w:tcW w:type="dxa" w:w="129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gemini-3-flash</w:t>
            </w:r>
          </w:p>
        </w:tc>
        <w:tc>
          <w:tcPr>
            <w:tcW w:type="dxa" w:w="4608"/>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Multimodal neural visual parser for dermatological lesions, physical wound triage, and optical pill verification.</w:t>
            </w:r>
          </w:p>
        </w:tc>
      </w:tr>
      <w:tr>
        <w:trPr>
          <w:cantSplit/>
        </w:trPr>
        <w:tc>
          <w:tcPr>
            <w:tcW w:type="dxa" w:w="1872"/>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OCR Engine</w:t>
            </w:r>
          </w:p>
        </w:tc>
        <w:tc>
          <w:tcPr>
            <w:tcW w:type="dxa" w:w="201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Tesseract.js &amp; Core</w:t>
            </w:r>
          </w:p>
        </w:tc>
        <w:tc>
          <w:tcPr>
            <w:tcW w:type="dxa" w:w="129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v7.0.0</w:t>
            </w:r>
          </w:p>
        </w:tc>
        <w:tc>
          <w:tcPr>
            <w:tcW w:type="dxa" w:w="4608"/>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Client &amp; server optical character recognition engine utilizing LSTM neural networks for printed prescription extraction.</w:t>
            </w:r>
          </w:p>
        </w:tc>
      </w:tr>
      <w:tr>
        <w:trPr>
          <w:cantSplit/>
        </w:trPr>
        <w:tc>
          <w:tcPr>
            <w:tcW w:type="dxa" w:w="1872"/>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Localization Framework</w:t>
            </w:r>
          </w:p>
        </w:tc>
        <w:tc>
          <w:tcPr>
            <w:tcW w:type="dxa" w:w="201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i18next / react-i18next</w:t>
            </w:r>
          </w:p>
        </w:tc>
        <w:tc>
          <w:tcPr>
            <w:tcW w:type="dxa" w:w="129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v24.2 / v15.3</w:t>
            </w:r>
          </w:p>
        </w:tc>
        <w:tc>
          <w:tcPr>
            <w:tcW w:type="dxa" w:w="4608"/>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Complete internationalization engine with language detection, namespace fallback, and reactive English/Hindi state switches.</w:t>
            </w:r>
          </w:p>
        </w:tc>
      </w:tr>
      <w:tr>
        <w:trPr>
          <w:cantSplit/>
        </w:trPr>
        <w:tc>
          <w:tcPr>
            <w:tcW w:type="dxa" w:w="1872"/>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Autonomous Cron</w:t>
            </w:r>
          </w:p>
        </w:tc>
        <w:tc>
          <w:tcPr>
            <w:tcW w:type="dxa" w:w="201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node-cron</w:t>
            </w:r>
          </w:p>
        </w:tc>
        <w:tc>
          <w:tcPr>
            <w:tcW w:type="dxa" w:w="129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v4.0.7</w:t>
            </w:r>
          </w:p>
        </w:tc>
        <w:tc>
          <w:tcPr>
            <w:tcW w:type="dxa" w:w="4608"/>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Pure JavaScript background cron task scheduler executing minute-by-minute evaluation of due doses and missed-dose windows.</w:t>
            </w:r>
          </w:p>
        </w:tc>
      </w:tr>
      <w:tr>
        <w:trPr>
          <w:cantSplit/>
        </w:trPr>
        <w:tc>
          <w:tcPr>
            <w:tcW w:type="dxa" w:w="1872"/>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Audio Siren Engine</w:t>
            </w:r>
          </w:p>
        </w:tc>
        <w:tc>
          <w:tcPr>
            <w:tcW w:type="dxa" w:w="201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HTML5 Web Audio API</w:t>
            </w:r>
          </w:p>
        </w:tc>
        <w:tc>
          <w:tcPr>
            <w:tcW w:type="dxa" w:w="129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W3C Native</w:t>
            </w:r>
          </w:p>
        </w:tc>
        <w:tc>
          <w:tcPr>
            <w:tcW w:type="dxa" w:w="4608"/>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Synthesizer creating dual-frequency oscillator warble alarms (880Hz - 1760Hz) without external MP3 asset dependency.</w:t>
            </w:r>
          </w:p>
        </w:tc>
      </w:tr>
      <w:tr>
        <w:trPr>
          <w:cantSplit/>
        </w:trPr>
        <w:tc>
          <w:tcPr>
            <w:tcW w:type="dxa" w:w="1872"/>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Speech Synthesis</w:t>
            </w:r>
          </w:p>
        </w:tc>
        <w:tc>
          <w:tcPr>
            <w:tcW w:type="dxa" w:w="201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Web Speech API</w:t>
            </w:r>
          </w:p>
        </w:tc>
        <w:tc>
          <w:tcPr>
            <w:tcW w:type="dxa" w:w="129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W3C Native</w:t>
            </w:r>
          </w:p>
        </w:tc>
        <w:tc>
          <w:tcPr>
            <w:tcW w:type="dxa" w:w="4608"/>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Browser-native Text-To-Speech (TTS) synthesizer vocalizing medication directions dynamically in Hindi and English.</w:t>
            </w:r>
          </w:p>
        </w:tc>
      </w:tr>
      <w:tr>
        <w:trPr>
          <w:cantSplit/>
        </w:trPr>
        <w:tc>
          <w:tcPr>
            <w:tcW w:type="dxa" w:w="1872"/>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Inter-Tab IPC</w:t>
            </w:r>
          </w:p>
        </w:tc>
        <w:tc>
          <w:tcPr>
            <w:tcW w:type="dxa" w:w="201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BroadcastChannel API</w:t>
            </w:r>
          </w:p>
        </w:tc>
        <w:tc>
          <w:tcPr>
            <w:tcW w:type="dxa" w:w="129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W3C Native</w:t>
            </w:r>
          </w:p>
        </w:tc>
        <w:tc>
          <w:tcPr>
            <w:tcW w:type="dxa" w:w="4608"/>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Local memory bus ('healthmitra_sync_channel') facilitating 0ms latency alarm dismissal across concurrent browser tabs.</w:t>
            </w:r>
          </w:p>
        </w:tc>
      </w:tr>
      <w:tr>
        <w:trPr>
          <w:cantSplit/>
        </w:trPr>
        <w:tc>
          <w:tcPr>
            <w:tcW w:type="dxa" w:w="1872"/>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Visual Aesthetics</w:t>
            </w:r>
          </w:p>
        </w:tc>
        <w:tc>
          <w:tcPr>
            <w:tcW w:type="dxa" w:w="201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Vitalis &amp; Human Care CSS</w:t>
            </w:r>
          </w:p>
        </w:tc>
        <w:tc>
          <w:tcPr>
            <w:tcW w:type="dxa" w:w="129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Custom 3.0</w:t>
            </w:r>
          </w:p>
        </w:tc>
        <w:tc>
          <w:tcPr>
            <w:tcW w:type="dxa" w:w="4608"/>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CSS design system fusing dark glassmorphism (frosted backdrop-filter) with high-contrast, accessible patient typography.</w:t>
            </w:r>
          </w:p>
        </w:tc>
      </w:tr>
      <w:tr>
        <w:trPr>
          <w:cantSplit/>
        </w:trPr>
        <w:tc>
          <w:tcPr>
            <w:tcW w:type="dxa" w:w="1872"/>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Workspace Orchestrator</w:t>
            </w:r>
          </w:p>
        </w:tc>
        <w:tc>
          <w:tcPr>
            <w:tcW w:type="dxa" w:w="201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npm Workspaces</w:t>
            </w:r>
          </w:p>
        </w:tc>
        <w:tc>
          <w:tcPr>
            <w:tcW w:type="dxa" w:w="129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v11.6.2</w:t>
            </w:r>
          </w:p>
        </w:tc>
        <w:tc>
          <w:tcPr>
            <w:tcW w:type="dxa" w:w="4608"/>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Monorepo multi-package management coordinating 'frontend' and 'backend' under unified dependency resolution.</w:t>
            </w:r>
          </w:p>
        </w:tc>
      </w:tr>
      <w:tr>
        <w:trPr>
          <w:cantSplit/>
        </w:trPr>
        <w:tc>
          <w:tcPr>
            <w:tcW w:type="dxa" w:w="1872"/>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Containerization</w:t>
            </w:r>
          </w:p>
        </w:tc>
        <w:tc>
          <w:tcPr>
            <w:tcW w:type="dxa" w:w="201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Docker &amp; Compose</w:t>
            </w:r>
          </w:p>
        </w:tc>
        <w:tc>
          <w:tcPr>
            <w:tcW w:type="dxa" w:w="129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v27.0+ / Compose v2</w:t>
            </w:r>
          </w:p>
        </w:tc>
        <w:tc>
          <w:tcPr>
            <w:tcW w:type="dxa" w:w="4608"/>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Multi-stage containerized virtualization isolating database, backend microservices, and static Nginx web servers.</w:t>
            </w:r>
          </w:p>
        </w:tc>
      </w:tr>
    </w:tbl>
    <w:p>
      <w:pPr>
        <w:spacing w:after="80"/>
      </w:pPr>
    </w:p>
    <w:p>
      <w:r>
        <w:br w:type="page"/>
      </w:r>
    </w:p>
    <w:p>
      <w:pPr>
        <w:keepNext/>
        <w:spacing w:before="360" w:after="120"/>
      </w:pPr>
      <w:r>
        <w:rPr>
          <w:rFonts w:ascii="Arial" w:hAnsi="Arial"/>
          <w:b/>
          <w:color w:val="0F766E"/>
          <w:sz w:val="31"/>
        </w:rPr>
        <w:t>4. End-to-End System Architecture &amp; Data Flow</w:t>
      </w:r>
    </w:p>
    <w:p>
      <w:pPr>
        <w:spacing w:before="0" w:after="100" w:line="276" w:lineRule="auto"/>
      </w:pPr>
      <w:r>
        <w:rPr>
          <w:rFonts w:ascii="Calibri" w:hAnsi="Calibri"/>
          <w:i w:val="0"/>
          <w:color w:val="1E293B"/>
          <w:sz w:val="21"/>
        </w:rPr>
        <w:t>The HealthMitra system is architected as a layered distributed model that completely isolates user presentation, core business logic, background temporal scheduling, and persistence seams. The following comprehensive ASCII architectural blueprint illustrates the hardware, networking, process, and memory boundaries across the application:</w:t>
      </w:r>
    </w:p>
    <w:tbl>
      <w:tblPr>
        <w:tblW w:type="auto" w:w="0"/>
        <w:jc w:val="center"/>
        <w:tblLayout w:type="fixed"/>
        <w:tblLook w:firstColumn="1" w:firstRow="1" w:lastColumn="0" w:lastRow="0" w:noHBand="0" w:noVBand="1" w:val="04A0"/>
      </w:tblPr>
      <w:tblGrid>
        <w:gridCol w:w="10080"/>
      </w:tblGrid>
      <w:tr>
        <w:tc>
          <w:tcPr>
            <w:tcW w:type="dxa" w:w="9792"/>
            <w:shd w:fill="0F172A"/>
            <w:tcMar>
              <w:top w:w="120" w:type="dxa"/>
              <w:bottom w:w="120" w:type="dxa"/>
              <w:left w:w="160" w:type="dxa"/>
              <w:right w:w="160" w:type="dxa"/>
            </w:tcMar>
            <w:tcBorders>
              <w:left w:val="single" w:sz="18" w:space="0" w:color="38BDF8"/>
              <w:top w:val="single" w:sz="8" w:space="0" w:color="1E293B"/>
              <w:right w:val="single" w:sz="8" w:space="0" w:color="1E293B"/>
              <w:bottom w:val="single" w:sz="8" w:space="0" w:color="1E293B"/>
            </w:tcBorders>
          </w:tcPr>
          <w:p>
            <w:pPr>
              <w:spacing w:before="20" w:after="60"/>
            </w:pPr>
            <w:r>
              <w:rPr>
                <w:rFonts w:ascii="Consolas" w:hAnsi="Consolas"/>
                <w:b/>
                <w:color w:val="38BDF8"/>
                <w:sz w:val="18"/>
              </w:rPr>
              <w:t>/* END-TO-END HEALTHMITRA ARCHITECTURAL TOPOLOGY */</w:t>
              <w:br/>
            </w:r>
            <w:r>
              <w:rPr>
                <w:rFonts w:ascii="Consolas" w:hAnsi="Consolas"/>
                <w:color w:val="F1F5F9"/>
                <w:sz w:val="17"/>
              </w:rPr>
              <w:t>+=========================================================================================================+</w:t>
              <w:br/>
              <w:t>|                                     HEALTHMITRA FULL-STACK TOPOLOGY                                      |</w:t>
              <w:br/>
              <w:t>+=========================================================================================================+</w:t>
              <w:br/>
              <w:t>|                                       LAYER 1: PRESENTATION (BROWSER SPA)                                |</w:t>
              <w:br/>
              <w:t>|  +----------------------------------------------------------------------------------------------------+  |</w:t>
              <w:br/>
              <w:t>|  |  React 18.3 Web Client [Port: 5173 / 80 Nginx]                                                     |  |</w:t>
              <w:br/>
              <w:t>|  |  - Viewport Gate: App.jsx (AuthGate -&gt; Workspace Shell)                                           |  |</w:t>
              <w:br/>
              <w:t>|  |  - Feature Modules: TodayPage, DashboardPage, MedicinesPage, SymptomsPage, ProfilePage, AlertsPage  |  |</w:t>
              <w:br/>
              <w:t>|  |  - Real-Time Hardware Hooks: Web Audio Oscillator (Siren), Web Speech TTS, Navigator Geolocation   |  |</w:t>
              <w:br/>
              <w:t>|  |  - Active Overlays: MedicineAlarmModal, AskMitraModal (Vision), PillVerificationModal, SosModal     |  |</w:t>
              <w:br/>
              <w:t>|  +----------------------------------------------------------------------------------------------------+  |</w:t>
              <w:br/>
              <w:t>|           | (HTTP REST / JSON :4000)                                   ^ (BroadcastChannel IPC)          |</w:t>
              <w:br/>
              <w:t>|           v                                                             v                                |</w:t>
              <w:br/>
              <w:t>+---------------------------------------------------------------------------------------------------------+</w:t>
              <w:br/>
              <w:t>|                                  LAYER 2: APPLICATION GATEWAY &amp; SERVICES                                |</w:t>
              <w:br/>
              <w:t>|  +----------------------------------------------------------------------------------------------------+  |</w:t>
              <w:br/>
              <w:t>|  |  Express.js 4.21 Gateway [Port: 4000]                                                              |  |</w:t>
              <w:br/>
              <w:t>|  |  - Middleware Pipeline: CORS Whitelist -&gt; JSON Parser (15MB payload) -&gt; requireUser Session Auth    |  |</w:t>
              <w:br/>
              <w:t>|  |  - Public Routers: /api/system, /api/auth, /api/support                                            |  |</w:t>
              <w:br/>
              <w:t>|  |  - Protected Routers: /api/patients, /api/medications, /api/dose-logs, /api/alerts, /api/sos, /api/profile</w:t>
              <w:br/>
              <w:t>|  +----------------------------------------------------------------------------------------------------+  |</w:t>
              <w:br/>
              <w:t>|  |  Service Coordination Layer:                                                                       |  |</w:t>
              <w:br/>
              <w:t>|  |  - doseService.js         : Schedule calculations, status transitions, adherence streak algorithms |  |</w:t>
              <w:br/>
              <w:t>|  |  - groqService.js         : Meta Llama 3.3 VITA Clinical Intelligence &amp; Medical Fallback Knowledge  |  |</w:t>
              <w:br/>
              <w:t>|  |  - visionService.js       : Google Gemini 3 Multimodal Vision Triage &amp; Tesseract OCR Pipeline      |  |</w:t>
              <w:br/>
              <w:t>|  |  - notificationService.js : Severity routing, inbox persistence &amp; caregiver alert dispatch         |  |</w:t>
              <w:br/>
              <w:t>|  |  - reminderScheduler.js   : Autonomous Node-Cron background engine (Missed-dose evaluation)        |  |</w:t>
              <w:br/>
              <w:t>|  +----------------------------------------------------------------------------------------------------+  |</w:t>
              <w:br/>
              <w:t>+---------------------------------------------------------------------------------------------------------+</w:t>
              <w:br/>
              <w:t>|                                  LAYER 3: PERSISTENCE &amp; DATA ABSTRACTION                                |</w:t>
              <w:br/>
              <w:t>|  +---------------------------------------------------+  +---------------------------------------------+  |</w:t>
              <w:br/>
              <w:t>|  | In-Memory Repository (repository.js)              |  | Enterprise PostgreSQL (pgRepository.js)     |  |</w:t>
              <w:br/>
              <w:t>|  | - Ephemeral mock tables (memoryStore.js)          |  | - Connection Pool (pg Pool :5432)           |  |</w:t>
              <w:br/>
              <w:t>|  | - Synchronous seed state &amp; local disk persistence |  | - schema.sql + seed.sql (ACID Transactions) |  |</w:t>
              <w:br/>
              <w:t>|  +---------------------------------------------------+  +---------------------------------------------+  |</w:t>
              <w:br/>
              <w:t>+=========================================================================================================+</w:t>
              <w:br/>
              <w:t>|                                  LAYER 4: EXTERNAL CLOUD AI &amp; TELEMETRY                                 |</w:t>
              <w:br/>
              <w:t>|  [Groq Cloud: Llama 3.3 70B @ 300 tps] &lt;=====&gt; [Google AI: Gemini 3 Flash Multimodal Vision API]       |</w:t>
              <w:br/>
              <w:t>+=========================================================================================================+</w:t>
            </w:r>
          </w:p>
        </w:tc>
      </w:tr>
    </w:tbl>
    <w:p>
      <w:pPr>
        <w:spacing w:after="80"/>
      </w:pPr>
    </w:p>
    <w:p>
      <w:pPr>
        <w:keepNext/>
        <w:spacing w:before="260" w:after="80"/>
      </w:pPr>
      <w:r>
        <w:rPr>
          <w:rFonts w:ascii="Arial" w:hAnsi="Arial"/>
          <w:b/>
          <w:color w:val="1E293B"/>
          <w:sz w:val="25"/>
        </w:rPr>
        <w:t>The Real-Time Dual-Alarm Synchronization Workflow</w:t>
      </w:r>
    </w:p>
    <w:p>
      <w:pPr>
        <w:spacing w:before="0" w:after="100" w:line="276" w:lineRule="auto"/>
      </w:pPr>
      <w:r>
        <w:rPr>
          <w:rFonts w:ascii="Calibri" w:hAnsi="Calibri"/>
          <w:i w:val="0"/>
          <w:color w:val="1E293B"/>
          <w:sz w:val="21"/>
        </w:rPr>
        <w:t>A marquee innovation of HealthMitra is its deterministic dual-alarm synchronization protocol. The following sequence timeline details what occurs during a scheduled dose event:</w:t>
      </w:r>
    </w:p>
    <w:tbl>
      <w:tblPr>
        <w:tblW w:type="auto" w:w="0"/>
        <w:jc w:val="center"/>
        <w:tblLayout w:type="fixed"/>
        <w:tblLook w:firstColumn="1" w:firstRow="1" w:lastColumn="0" w:lastRow="0" w:noHBand="0" w:noVBand="1" w:val="04A0"/>
      </w:tblPr>
      <w:tblGrid>
        <w:gridCol w:w="10080"/>
      </w:tblGrid>
      <w:tr>
        <w:tc>
          <w:tcPr>
            <w:tcW w:type="dxa" w:w="9792"/>
            <w:shd w:fill="0F172A"/>
            <w:tcMar>
              <w:top w:w="120" w:type="dxa"/>
              <w:bottom w:w="120" w:type="dxa"/>
              <w:left w:w="160" w:type="dxa"/>
              <w:right w:w="160" w:type="dxa"/>
            </w:tcMar>
            <w:tcBorders>
              <w:left w:val="single" w:sz="18" w:space="0" w:color="38BDF8"/>
              <w:top w:val="single" w:sz="8" w:space="0" w:color="1E293B"/>
              <w:right w:val="single" w:sz="8" w:space="0" w:color="1E293B"/>
              <w:bottom w:val="single" w:sz="8" w:space="0" w:color="1E293B"/>
            </w:tcBorders>
          </w:tcPr>
          <w:p>
            <w:pPr>
              <w:spacing w:before="20" w:after="60"/>
            </w:pPr>
            <w:r>
              <w:rPr>
                <w:rFonts w:ascii="Consolas" w:hAnsi="Consolas"/>
                <w:b/>
                <w:color w:val="38BDF8"/>
                <w:sz w:val="18"/>
              </w:rPr>
              <w:t>/* CHRONOLOGICAL DUAL-ALARM SYNCHRONIZATION WORKFLOW */</w:t>
              <w:br/>
            </w:r>
            <w:r>
              <w:rPr>
                <w:rFonts w:ascii="Consolas" w:hAnsi="Consolas"/>
                <w:color w:val="F1F5F9"/>
                <w:sz w:val="17"/>
              </w:rPr>
              <w:t>Time T0 (Scheduled Dose Time, e.g. 08:00 AM):</w:t>
              <w:br/>
              <w:t xml:space="preserve">  1. Background Node-Cron Scheduler ticks every 60s -&gt; executes checkScheduledDoses().</w:t>
              <w:br/>
              <w:t xml:space="preserve">  2. Scheduler creates a 'pending' dose_log record in the database.</w:t>
              <w:br/>
              <w:t xml:space="preserve">  3. Dispatcher broadcasts a 'reminder' notification to the patient and all linked caregivers.</w:t>
              <w:br/>
              <w:t xml:space="preserve">  4. Patient Client (TodayPage): Polling hook (5s) detects pending dose -&gt; triggers MedicineAlarmModal.</w:t>
              <w:br/>
              <w:t xml:space="preserve">     - Web Audio dual-tone oscillator sounds continuous urgent chime.</w:t>
              <w:br/>
              <w:t xml:space="preserve">     - Web Speech synthesizer vocalizes: 'Attention Meera, it is time for Metformin 500mg'.</w:t>
              <w:br/>
              <w:t xml:space="preserve">  5. Caregiver Client (DashboardPage): Polling hook detects patient's due dose -&gt; triggers Caregiver Alarm Overlay.</w:t>
              <w:br/>
              <w:t xml:space="preserve">     - Displays: 'CAREGIVER ALARM • MEERA SHAH: Metformin 500mg due now'.</w:t>
              <w:br/>
              <w:t xml:space="preserve">     - Vocalizes urgent caregiver announcement.</w:t>
              <w:br/>
              <w:br/>
              <w:t>Scenario A: Patient Confirms Dose (08:04 AM):</w:t>
              <w:br/>
              <w:t xml:space="preserve">  1. Patient taps large 'Dose Taken' (खुराक ले ली) button on MedicineAlarmModal.</w:t>
              <w:br/>
              <w:t xml:space="preserve">  2. Client dispatches HTTP POST /api/dose-logs/:id/confirm { status: 'taken', method: 'tap' }.</w:t>
              <w:br/>
              <w:t xml:space="preserve">  3. Server updates log status to 'taken', updates adherence streak, and records exact timestamp.</w:t>
              <w:br/>
              <w:t xml:space="preserve">  4. Server calls raiseAlert('caregivers') -&gt; generates 'Dose Confirmed' alert notification.</w:t>
              <w:br/>
              <w:t xml:space="preserve">  5. Patient browser dispatches BroadcastChannel.postMessage({ type: 'DOSE_CONFIRMED', doseId }).</w:t>
              <w:br/>
              <w:t xml:space="preserve">  6. Caregiver browser receives event in 0ms -&gt; immediately unmounts alarm modal &amp; cancels audio siren.</w:t>
              <w:br/>
              <w:t xml:space="preserve">  7. Caregiver UI shows confirmation toast: 'Meera Shah has taken Metformin. Alarm stopped.'</w:t>
              <w:br/>
              <w:br/>
              <w:t>Scenario B: Patient Fails to Respond within 15 Minutes (08:15 AM Window Expiry):</w:t>
              <w:br/>
              <w:t xml:space="preserve">  1. Cron scheduler detects dose_log status is STILL 'pending' and now &gt;= sched + 15 mins.</w:t>
              <w:br/>
              <w:t xml:space="preserve">  2. Server transitions dose_log status to 'missed'.</w:t>
              <w:br/>
              <w:t xml:space="preserve">  3. System escalates: generates CRITICAL ALERT to caregivers ('Missed Dose: Metformin not taken').</w:t>
              <w:br/>
              <w:t xml:space="preserve">  4. Caregiver dashboard updates immediately with flashing crimson badge and direct call button.</w:t>
            </w:r>
          </w:p>
        </w:tc>
      </w:tr>
    </w:tbl>
    <w:p>
      <w:pPr>
        <w:spacing w:after="80"/>
      </w:pPr>
    </w:p>
    <w:p>
      <w:r>
        <w:br w:type="page"/>
      </w:r>
    </w:p>
    <w:p>
      <w:pPr>
        <w:keepNext/>
        <w:spacing w:before="360" w:after="120"/>
      </w:pPr>
      <w:r>
        <w:rPr>
          <w:rFonts w:ascii="Arial" w:hAnsi="Arial"/>
          <w:b/>
          <w:color w:val="0F766E"/>
          <w:sz w:val="31"/>
        </w:rPr>
        <w:t>5. Frontend Architecture &amp; Human-Centered UI/UX</w:t>
      </w:r>
    </w:p>
    <w:p>
      <w:pPr>
        <w:spacing w:before="0" w:after="100" w:line="276" w:lineRule="auto"/>
      </w:pPr>
      <w:r>
        <w:rPr>
          <w:rFonts w:ascii="Calibri" w:hAnsi="Calibri"/>
          <w:i w:val="0"/>
          <w:color w:val="1E293B"/>
          <w:sz w:val="21"/>
        </w:rPr>
        <w:t>The HealthMitra frontend is structured as a Single Page Application (SPA) designed to adhere strictly to the highest standards of medical accessibility (WCAG 2.1 AAA) while maintaining high aesthetic engagement. The codebase is cleanly divided into atomic components, screen modules, global context providers, and hardware abstraction hooks:</w:t>
      </w:r>
    </w:p>
    <w:p>
      <w:pPr>
        <w:keepNext/>
        <w:spacing w:before="260" w:after="80"/>
      </w:pPr>
      <w:r>
        <w:rPr>
          <w:rFonts w:ascii="Arial" w:hAnsi="Arial"/>
          <w:b/>
          <w:color w:val="1E293B"/>
          <w:sz w:val="25"/>
        </w:rPr>
        <w:t>Directory Structure &amp; Modular Decomposition</w:t>
      </w:r>
    </w:p>
    <w:p>
      <w:pPr>
        <w:pStyle w:val="ListBullet"/>
        <w:spacing w:before="0" w:after="60" w:line="276" w:lineRule="auto"/>
      </w:pPr>
      <w:r>
        <w:rPr>
          <w:rFonts w:ascii="Calibri" w:hAnsi="Calibri"/>
          <w:b/>
          <w:color w:val="1E293B"/>
          <w:sz w:val="21"/>
        </w:rPr>
        <w:t xml:space="preserve">Master Shell: </w:t>
      </w:r>
      <w:r>
        <w:rPr>
          <w:rFonts w:ascii="Calibri" w:hAnsi="Calibri"/>
          <w:color w:val="1E293B"/>
          <w:sz w:val="21"/>
        </w:rPr>
        <w:t>frontend/src/workspace/Workspace.jsx - The master application shell housing the responsive layout grid, dynamic sidebar, topbar, background alarm watcher, and global modal host.</w:t>
      </w:r>
    </w:p>
    <w:p>
      <w:pPr>
        <w:pStyle w:val="ListBullet"/>
        <w:spacing w:before="0" w:after="60" w:line="276" w:lineRule="auto"/>
      </w:pPr>
      <w:r>
        <w:rPr>
          <w:rFonts w:ascii="Calibri" w:hAnsi="Calibri"/>
          <w:b/>
          <w:color w:val="1E293B"/>
          <w:sz w:val="21"/>
        </w:rPr>
        <w:t xml:space="preserve">Global State Seam: </w:t>
      </w:r>
      <w:r>
        <w:rPr>
          <w:rFonts w:ascii="Calibri" w:hAnsi="Calibri"/>
          <w:color w:val="1E293B"/>
          <w:sz w:val="21"/>
        </w:rPr>
        <w:t>frontend/src/workspace/WorkspaceContext.jsx - React Context housing shared state: active patient ID, raw telemetry data (dashboard, medications, dose logs, alerts, notifications), language preferences, and mutation dispatchers.</w:t>
      </w:r>
    </w:p>
    <w:p>
      <w:pPr>
        <w:pStyle w:val="ListBullet"/>
        <w:spacing w:before="0" w:after="60" w:line="276" w:lineRule="auto"/>
      </w:pPr>
      <w:r>
        <w:rPr>
          <w:rFonts w:ascii="Calibri" w:hAnsi="Calibri"/>
          <w:b/>
          <w:color w:val="1E293B"/>
          <w:sz w:val="21"/>
        </w:rPr>
        <w:t xml:space="preserve">Telemetry Polling Hook: </w:t>
      </w:r>
      <w:r>
        <w:rPr>
          <w:rFonts w:ascii="Calibri" w:hAnsi="Calibri"/>
          <w:color w:val="1E293B"/>
          <w:sz w:val="21"/>
        </w:rPr>
        <w:t>frontend/src/hooks/useWorkspaceData.js - High-frequency polling engine executing automated SWR (Stale-While-Revalidate) telemetry fetch every 5 seconds to guarantee cross-client synchronization.</w:t>
      </w:r>
    </w:p>
    <w:p>
      <w:pPr>
        <w:pStyle w:val="ListBullet"/>
        <w:spacing w:before="0" w:after="60" w:line="276" w:lineRule="auto"/>
      </w:pPr>
      <w:r>
        <w:rPr>
          <w:rFonts w:ascii="Calibri" w:hAnsi="Calibri"/>
          <w:b/>
          <w:color w:val="1E293B"/>
          <w:sz w:val="21"/>
        </w:rPr>
        <w:t xml:space="preserve">Session Gateway: </w:t>
      </w:r>
      <w:r>
        <w:rPr>
          <w:rFonts w:ascii="Calibri" w:hAnsi="Calibri"/>
          <w:color w:val="1E293B"/>
          <w:sz w:val="21"/>
        </w:rPr>
        <w:t>frontend/src/hooks/useSession.js - Lightweight authentication session manager handling local token persistence, user profile caching, and dynamic role gatekeeping (Patient vs Caregiver).</w:t>
      </w:r>
    </w:p>
    <w:p>
      <w:pPr>
        <w:pStyle w:val="ListBullet"/>
        <w:spacing w:before="0" w:after="60" w:line="276" w:lineRule="auto"/>
      </w:pPr>
      <w:r>
        <w:rPr>
          <w:rFonts w:ascii="Calibri" w:hAnsi="Calibri"/>
          <w:b/>
          <w:color w:val="1E293B"/>
          <w:sz w:val="21"/>
        </w:rPr>
        <w:t xml:space="preserve">Audio Synthesizer: </w:t>
      </w:r>
      <w:r>
        <w:rPr>
          <w:rFonts w:ascii="Calibri" w:hAnsi="Calibri"/>
          <w:color w:val="1E293B"/>
          <w:sz w:val="21"/>
        </w:rPr>
        <w:t>frontend/src/utils/audio.js - Direct interface to HTML5 AudioContext, synthesizing siren waveforms and alarm audio patterns on demand without external network latency.</w:t>
      </w:r>
    </w:p>
    <w:p>
      <w:pPr>
        <w:pStyle w:val="ListBullet"/>
        <w:spacing w:before="0" w:after="60" w:line="276" w:lineRule="auto"/>
      </w:pPr>
      <w:r>
        <w:rPr>
          <w:rFonts w:ascii="Calibri" w:hAnsi="Calibri"/>
          <w:b/>
          <w:color w:val="1E293B"/>
          <w:sz w:val="21"/>
        </w:rPr>
        <w:t xml:space="preserve">Localization Engine: </w:t>
      </w:r>
      <w:r>
        <w:rPr>
          <w:rFonts w:ascii="Calibri" w:hAnsi="Calibri"/>
          <w:color w:val="1E293B"/>
          <w:sz w:val="21"/>
        </w:rPr>
        <w:t>frontend/src/i18n.js - Full bilingual translation dictionary mapping hundreds of keys across English and Hindi (हिन्दी) for seamless localization.</w:t>
      </w:r>
    </w:p>
    <w:p>
      <w:pPr>
        <w:keepNext/>
        <w:spacing w:before="260" w:after="80"/>
      </w:pPr>
      <w:r>
        <w:rPr>
          <w:rFonts w:ascii="Arial" w:hAnsi="Arial"/>
          <w:b/>
          <w:color w:val="1E293B"/>
          <w:sz w:val="25"/>
        </w:rPr>
        <w:t>Specialized Accessible Modals</w:t>
      </w:r>
    </w:p>
    <w:p>
      <w:pPr>
        <w:spacing w:before="0" w:after="100" w:line="276" w:lineRule="auto"/>
      </w:pPr>
      <w:r>
        <w:rPr>
          <w:rFonts w:ascii="Calibri" w:hAnsi="Calibri"/>
          <w:i w:val="0"/>
          <w:color w:val="1E293B"/>
          <w:sz w:val="21"/>
        </w:rPr>
        <w:t>HealthMitra eschews complex, nested navigation in favor of high-impact, contextual modal dialogues that guide the user through specific high-stakes interactions:</w:t>
      </w:r>
    </w:p>
    <w:p>
      <w:pPr>
        <w:pStyle w:val="ListBullet"/>
        <w:spacing w:before="0" w:after="60" w:line="276" w:lineRule="auto"/>
      </w:pPr>
      <w:r>
        <w:rPr>
          <w:rFonts w:ascii="Calibri" w:hAnsi="Calibri"/>
          <w:b/>
          <w:color w:val="1E293B"/>
          <w:sz w:val="21"/>
        </w:rPr>
        <w:t xml:space="preserve">1. MedicineAlarmModal: </w:t>
      </w:r>
      <w:r>
        <w:rPr>
          <w:rFonts w:ascii="Calibri" w:hAnsi="Calibri"/>
          <w:color w:val="1E293B"/>
          <w:sz w:val="21"/>
        </w:rPr>
        <w:t>A full-viewport modal dialogue with backdrop-filter glass blur. Houses animated pulsing pill icons, large high-contrast confirmation buttons, and dual-role adaptive text. When marked taken, it triggers an explosion of confetti particles (via canvas-confetti) providing positive psychological reinforcement to the elder.</w:t>
      </w:r>
    </w:p>
    <w:p>
      <w:pPr>
        <w:pStyle w:val="ListBullet"/>
        <w:spacing w:before="0" w:after="60" w:line="276" w:lineRule="auto"/>
      </w:pPr>
      <w:r>
        <w:rPr>
          <w:rFonts w:ascii="Calibri" w:hAnsi="Calibri"/>
          <w:b/>
          <w:color w:val="1E293B"/>
          <w:sz w:val="21"/>
        </w:rPr>
        <w:t xml:space="preserve">2. AskMitraModal (Vision AI): </w:t>
      </w:r>
      <w:r>
        <w:rPr>
          <w:rFonts w:ascii="Calibri" w:hAnsi="Calibri"/>
          <w:color w:val="1E293B"/>
          <w:sz w:val="21"/>
        </w:rPr>
        <w:t>A multimodal clinical triage interface. Allows patients to upload photographs of skin rashes, physical lesions, or medicine strips, toggle one-tap symptom chips (+ Itching, + Burning, + Spreading, + Fever), and receive structured, step-by-step clinical triage guidance from Gemini 3 Vision.</w:t>
      </w:r>
    </w:p>
    <w:p>
      <w:pPr>
        <w:pStyle w:val="ListBullet"/>
        <w:spacing w:before="0" w:after="60" w:line="276" w:lineRule="auto"/>
      </w:pPr>
      <w:r>
        <w:rPr>
          <w:rFonts w:ascii="Calibri" w:hAnsi="Calibri"/>
          <w:b/>
          <w:color w:val="1E293B"/>
          <w:sz w:val="21"/>
        </w:rPr>
        <w:t xml:space="preserve">3. MedicineFormModal: </w:t>
      </w:r>
      <w:r>
        <w:rPr>
          <w:rFonts w:ascii="Calibri" w:hAnsi="Calibri"/>
          <w:color w:val="1E293B"/>
          <w:sz w:val="21"/>
        </w:rPr>
        <w:t>Dual-mode medication entry dialogue. Supports manual entry of complex schedules or automated prescription scanning via Tesseract OCR and Groq Vision.</w:t>
      </w:r>
    </w:p>
    <w:p>
      <w:pPr>
        <w:pStyle w:val="ListBullet"/>
        <w:spacing w:before="0" w:after="60" w:line="276" w:lineRule="auto"/>
      </w:pPr>
      <w:r>
        <w:rPr>
          <w:rFonts w:ascii="Calibri" w:hAnsi="Calibri"/>
          <w:b/>
          <w:color w:val="1E293B"/>
          <w:sz w:val="21"/>
        </w:rPr>
        <w:t xml:space="preserve">4. EmergencyQrModal: </w:t>
      </w:r>
      <w:r>
        <w:rPr>
          <w:rFonts w:ascii="Calibri" w:hAnsi="Calibri"/>
          <w:color w:val="1E293B"/>
          <w:sz w:val="21"/>
        </w:rPr>
        <w:t>Generates an instant, high-contrast QR code encoding the patient's critical health passport (blood group, chronic conditions, active medications, next-of-kin contacts). Can be scanned by paramedics or emergency room physicians using any standard smartphone camera without network access.</w:t>
      </w:r>
    </w:p>
    <w:p>
      <w:pPr>
        <w:pStyle w:val="ListBullet"/>
        <w:spacing w:before="0" w:after="60" w:line="276" w:lineRule="auto"/>
      </w:pPr>
      <w:r>
        <w:rPr>
          <w:rFonts w:ascii="Calibri" w:hAnsi="Calibri"/>
          <w:b/>
          <w:color w:val="1E293B"/>
          <w:sz w:val="21"/>
        </w:rPr>
        <w:t xml:space="preserve">5. SosModal: </w:t>
      </w:r>
      <w:r>
        <w:rPr>
          <w:rFonts w:ascii="Calibri" w:hAnsi="Calibri"/>
          <w:color w:val="1E293B"/>
          <w:sz w:val="21"/>
        </w:rPr>
        <w:t>Dedicated emergency intervention screen. Displays a 10-second countdown cancellation buffer, emits an acoustic siren, captures real-time GPS coordinates via HTML5 Geolocation, and dispatches SOS alerts to emergency services and family contacts.</w:t>
      </w:r>
    </w:p>
    <w:p>
      <w:r>
        <w:br w:type="page"/>
      </w:r>
    </w:p>
    <w:p>
      <w:pPr>
        <w:keepNext/>
        <w:spacing w:before="360" w:after="120"/>
      </w:pPr>
      <w:r>
        <w:rPr>
          <w:rFonts w:ascii="Arial" w:hAnsi="Arial"/>
          <w:b/>
          <w:color w:val="0F766E"/>
          <w:sz w:val="31"/>
        </w:rPr>
        <w:t>6. Backend Engineering &amp; Service Layer Design</w:t>
      </w:r>
    </w:p>
    <w:p>
      <w:pPr>
        <w:spacing w:before="0" w:after="100" w:line="276" w:lineRule="auto"/>
      </w:pPr>
      <w:r>
        <w:rPr>
          <w:rFonts w:ascii="Calibri" w:hAnsi="Calibri"/>
          <w:i w:val="0"/>
          <w:color w:val="1E293B"/>
          <w:sz w:val="21"/>
        </w:rPr>
        <w:t>The HealthMitra backend is engineered around a modular, layered service architecture. Route handlers in the Express gateway remain exceptionally thin, acting purely as HTTP protocol adapters that validate incoming JSON payloads, extract user credentials, and delegate domain logic to specialized service modules:</w:t>
      </w:r>
    </w:p>
    <w:tbl>
      <w:tblPr>
        <w:tblW w:type="auto" w:w="0"/>
        <w:jc w:val="center"/>
        <w:tblLayout w:type="fixed"/>
        <w:tblLook w:firstColumn="1" w:firstRow="1" w:lastColumn="0" w:lastRow="0" w:noHBand="0" w:noVBand="1" w:val="04A0"/>
      </w:tblPr>
      <w:tblGrid>
        <w:gridCol w:w="2520"/>
        <w:gridCol w:w="2520"/>
        <w:gridCol w:w="2520"/>
        <w:gridCol w:w="2520"/>
      </w:tblGrid>
      <w:tr>
        <w:trPr>
          <w:cantSplit/>
        </w:trPr>
        <w:tc>
          <w:tcPr>
            <w:tcW w:type="dxa" w:w="2592"/>
            <w:shd w:fill="1E293B"/>
            <w:tcMar>
              <w:top w:w="90" w:type="dxa"/>
              <w:bottom w:w="90" w:type="dxa"/>
              <w:left w:w="120" w:type="dxa"/>
              <w:right w:w="120" w:type="dxa"/>
            </w:tcMar>
            <w:tcBorders>
              <w:top w:val="single" w:sz="4" w:space="0" w:color="E2E8F0"/>
              <w:bottom w:val="single" w:sz="4" w:space="0" w:color="E2E8F0"/>
              <w:left w:val="none"/>
              <w:right w:val="none"/>
            </w:tcBorders>
          </w:tcPr>
          <w:p>
            <w:pPr>
              <w:jc w:val="left"/>
            </w:pPr>
            <w:r>
              <w:rPr>
                <w:rFonts w:ascii="Arial" w:hAnsi="Arial"/>
                <w:b/>
                <w:color w:val="FFFFFF"/>
                <w:sz w:val="19"/>
              </w:rPr>
              <w:t>HTTP Method &amp; Route</w:t>
            </w:r>
          </w:p>
        </w:tc>
        <w:tc>
          <w:tcPr>
            <w:tcW w:type="dxa" w:w="1296"/>
            <w:shd w:fill="1E293B"/>
            <w:tcMar>
              <w:top w:w="90" w:type="dxa"/>
              <w:bottom w:w="90" w:type="dxa"/>
              <w:left w:w="120" w:type="dxa"/>
              <w:right w:w="120" w:type="dxa"/>
            </w:tcMar>
            <w:tcBorders>
              <w:top w:val="single" w:sz="4" w:space="0" w:color="E2E8F0"/>
              <w:bottom w:val="single" w:sz="4" w:space="0" w:color="E2E8F0"/>
              <w:left w:val="none"/>
              <w:right w:val="none"/>
            </w:tcBorders>
          </w:tcPr>
          <w:p>
            <w:pPr>
              <w:jc w:val="left"/>
            </w:pPr>
            <w:r>
              <w:rPr>
                <w:rFonts w:ascii="Arial" w:hAnsi="Arial"/>
                <w:b/>
                <w:color w:val="FFFFFF"/>
                <w:sz w:val="19"/>
              </w:rPr>
              <w:t>Auth Level</w:t>
            </w:r>
          </w:p>
        </w:tc>
        <w:tc>
          <w:tcPr>
            <w:tcW w:type="dxa" w:w="2016"/>
            <w:shd w:fill="1E293B"/>
            <w:tcMar>
              <w:top w:w="90" w:type="dxa"/>
              <w:bottom w:w="90" w:type="dxa"/>
              <w:left w:w="120" w:type="dxa"/>
              <w:right w:w="120" w:type="dxa"/>
            </w:tcMar>
            <w:tcBorders>
              <w:top w:val="single" w:sz="4" w:space="0" w:color="E2E8F0"/>
              <w:bottom w:val="single" w:sz="4" w:space="0" w:color="E2E8F0"/>
              <w:left w:val="none"/>
              <w:right w:val="none"/>
            </w:tcBorders>
          </w:tcPr>
          <w:p>
            <w:pPr>
              <w:jc w:val="left"/>
            </w:pPr>
            <w:r>
              <w:rPr>
                <w:rFonts w:ascii="Arial" w:hAnsi="Arial"/>
                <w:b/>
                <w:color w:val="FFFFFF"/>
                <w:sz w:val="19"/>
              </w:rPr>
              <w:t>Service Delegate</w:t>
            </w:r>
          </w:p>
        </w:tc>
        <w:tc>
          <w:tcPr>
            <w:tcW w:type="dxa" w:w="3888"/>
            <w:shd w:fill="1E293B"/>
            <w:tcMar>
              <w:top w:w="90" w:type="dxa"/>
              <w:bottom w:w="90" w:type="dxa"/>
              <w:left w:w="120" w:type="dxa"/>
              <w:right w:w="120" w:type="dxa"/>
            </w:tcMar>
            <w:tcBorders>
              <w:top w:val="single" w:sz="4" w:space="0" w:color="E2E8F0"/>
              <w:bottom w:val="single" w:sz="4" w:space="0" w:color="E2E8F0"/>
              <w:left w:val="none"/>
              <w:right w:val="none"/>
            </w:tcBorders>
          </w:tcPr>
          <w:p>
            <w:pPr>
              <w:jc w:val="left"/>
            </w:pPr>
            <w:r>
              <w:rPr>
                <w:rFonts w:ascii="Arial" w:hAnsi="Arial"/>
                <w:b/>
                <w:color w:val="FFFFFF"/>
                <w:sz w:val="19"/>
              </w:rPr>
              <w:t>Payload &amp; Operational Description</w:t>
            </w:r>
          </w:p>
        </w:tc>
      </w:tr>
      <w:tr>
        <w:trPr>
          <w:cantSplit/>
        </w:trPr>
        <w:tc>
          <w:tcPr>
            <w:tcW w:type="dxa" w:w="2592"/>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POST /api/auth/sign-in</w:t>
            </w:r>
          </w:p>
        </w:tc>
        <w:tc>
          <w:tcPr>
            <w:tcW w:type="dxa" w:w="129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Public</w:t>
            </w:r>
          </w:p>
        </w:tc>
        <w:tc>
          <w:tcPr>
            <w:tcW w:type="dxa" w:w="201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authService.js</w:t>
            </w:r>
          </w:p>
        </w:tc>
        <w:tc>
          <w:tcPr>
            <w:tcW w:type="dxa" w:w="3888"/>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Validates email/password against credentials; returns authenticated user profile &amp; session ID.</w:t>
            </w:r>
          </w:p>
        </w:tc>
      </w:tr>
      <w:tr>
        <w:trPr>
          <w:cantSplit/>
        </w:trPr>
        <w:tc>
          <w:tcPr>
            <w:tcW w:type="dxa" w:w="2592"/>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POST /api/auth/register</w:t>
            </w:r>
          </w:p>
        </w:tc>
        <w:tc>
          <w:tcPr>
            <w:tcW w:type="dxa" w:w="129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Public</w:t>
            </w:r>
          </w:p>
        </w:tc>
        <w:tc>
          <w:tcPr>
            <w:tcW w:type="dxa" w:w="201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authService.js</w:t>
            </w:r>
          </w:p>
        </w:tc>
        <w:tc>
          <w:tcPr>
            <w:tcW w:type="dxa" w:w="3888"/>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Provisions new user account; assigns role ('patient' or 'caregiver'); seeds initial mock data.</w:t>
            </w:r>
          </w:p>
        </w:tc>
      </w:tr>
      <w:tr>
        <w:trPr>
          <w:cantSplit/>
        </w:trPr>
        <w:tc>
          <w:tcPr>
            <w:tcW w:type="dxa" w:w="2592"/>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GET /api/system/health</w:t>
            </w:r>
          </w:p>
        </w:tc>
        <w:tc>
          <w:tcPr>
            <w:tcW w:type="dxa" w:w="129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Public</w:t>
            </w:r>
          </w:p>
        </w:tc>
        <w:tc>
          <w:tcPr>
            <w:tcW w:type="dxa" w:w="201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systemRouter</w:t>
            </w:r>
          </w:p>
        </w:tc>
        <w:tc>
          <w:tcPr>
            <w:tcW w:type="dxa" w:w="3888"/>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Diagnostic endpoint returning scheduler heartbeat, last tick timestamp, and uptime status.</w:t>
            </w:r>
          </w:p>
        </w:tc>
      </w:tr>
      <w:tr>
        <w:trPr>
          <w:cantSplit/>
        </w:trPr>
        <w:tc>
          <w:tcPr>
            <w:tcW w:type="dxa" w:w="2592"/>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GET /api/patients/dashboard</w:t>
            </w:r>
          </w:p>
        </w:tc>
        <w:tc>
          <w:tcPr>
            <w:tcW w:type="dxa" w:w="129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Protected</w:t>
            </w:r>
          </w:p>
        </w:tc>
        <w:tc>
          <w:tcPr>
            <w:tcW w:type="dxa" w:w="201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adherenceService.js</w:t>
            </w:r>
          </w:p>
        </w:tc>
        <w:tc>
          <w:tcPr>
            <w:tcW w:type="dxa" w:w="3888"/>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Returns 7-day adherence charts, today's dose logs, upcoming schedules, and active patient vitals.</w:t>
            </w:r>
          </w:p>
        </w:tc>
      </w:tr>
      <w:tr>
        <w:trPr>
          <w:cantSplit/>
        </w:trPr>
        <w:tc>
          <w:tcPr>
            <w:tcW w:type="dxa" w:w="2592"/>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GET /api/medications</w:t>
            </w:r>
          </w:p>
        </w:tc>
        <w:tc>
          <w:tcPr>
            <w:tcW w:type="dxa" w:w="129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Protected</w:t>
            </w:r>
          </w:p>
        </w:tc>
        <w:tc>
          <w:tcPr>
            <w:tcW w:type="dxa" w:w="201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medicationService.js</w:t>
            </w:r>
          </w:p>
        </w:tc>
        <w:tc>
          <w:tcPr>
            <w:tcW w:type="dxa" w:w="3888"/>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Fetches active pharmacological prescriptions, dosage strengths, timing, and food instructions.</w:t>
            </w:r>
          </w:p>
        </w:tc>
      </w:tr>
      <w:tr>
        <w:trPr>
          <w:cantSplit/>
        </w:trPr>
        <w:tc>
          <w:tcPr>
            <w:tcW w:type="dxa" w:w="2592"/>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POST /api/medications</w:t>
            </w:r>
          </w:p>
        </w:tc>
        <w:tc>
          <w:tcPr>
            <w:tcW w:type="dxa" w:w="129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Protected</w:t>
            </w:r>
          </w:p>
        </w:tc>
        <w:tc>
          <w:tcPr>
            <w:tcW w:type="dxa" w:w="201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medicationService.js</w:t>
            </w:r>
          </w:p>
        </w:tc>
        <w:tc>
          <w:tcPr>
            <w:tcW w:type="dxa" w:w="3888"/>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Creates new medication regimen; automatically synthesizes recurring dose schedule slots.</w:t>
            </w:r>
          </w:p>
        </w:tc>
      </w:tr>
      <w:tr>
        <w:trPr>
          <w:cantSplit/>
        </w:trPr>
        <w:tc>
          <w:tcPr>
            <w:tcW w:type="dxa" w:w="2592"/>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POST /api/dose-logs/:id/confirm</w:t>
            </w:r>
          </w:p>
        </w:tc>
        <w:tc>
          <w:tcPr>
            <w:tcW w:type="dxa" w:w="129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Protected</w:t>
            </w:r>
          </w:p>
        </w:tc>
        <w:tc>
          <w:tcPr>
            <w:tcW w:type="dxa" w:w="201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doseService.js</w:t>
            </w:r>
          </w:p>
        </w:tc>
        <w:tc>
          <w:tcPr>
            <w:tcW w:type="dxa" w:w="3888"/>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Marks dose as 'taken' or 'skipped'; triggers caregiver alerts; resolves active sirens.</w:t>
            </w:r>
          </w:p>
        </w:tc>
      </w:tr>
      <w:tr>
        <w:trPr>
          <w:cantSplit/>
        </w:trPr>
        <w:tc>
          <w:tcPr>
            <w:tcW w:type="dxa" w:w="2592"/>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GET /api/alerts</w:t>
            </w:r>
          </w:p>
        </w:tc>
        <w:tc>
          <w:tcPr>
            <w:tcW w:type="dxa" w:w="129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Protected</w:t>
            </w:r>
          </w:p>
        </w:tc>
        <w:tc>
          <w:tcPr>
            <w:tcW w:type="dxa" w:w="201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notificationService.js</w:t>
            </w:r>
          </w:p>
        </w:tc>
        <w:tc>
          <w:tcPr>
            <w:tcW w:type="dxa" w:w="3888"/>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Retrieves chronological audit log of critical system warnings, missed doses, and SOS incidents.</w:t>
            </w:r>
          </w:p>
        </w:tc>
      </w:tr>
      <w:tr>
        <w:trPr>
          <w:cantSplit/>
        </w:trPr>
        <w:tc>
          <w:tcPr>
            <w:tcW w:type="dxa" w:w="2592"/>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POST /api/sos</w:t>
            </w:r>
          </w:p>
        </w:tc>
        <w:tc>
          <w:tcPr>
            <w:tcW w:type="dxa" w:w="129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Protected</w:t>
            </w:r>
          </w:p>
        </w:tc>
        <w:tc>
          <w:tcPr>
            <w:tcW w:type="dxa" w:w="201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sosService.js</w:t>
            </w:r>
          </w:p>
        </w:tc>
        <w:tc>
          <w:tcPr>
            <w:tcW w:type="dxa" w:w="3888"/>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Triggers high-priority emergency event; captures lat/long GPS telemetry; dispatches family notifications.</w:t>
            </w:r>
          </w:p>
        </w:tc>
      </w:tr>
      <w:tr>
        <w:trPr>
          <w:cantSplit/>
        </w:trPr>
        <w:tc>
          <w:tcPr>
            <w:tcW w:type="dxa" w:w="2592"/>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POST /api/support/ask-mitra</w:t>
            </w:r>
          </w:p>
        </w:tc>
        <w:tc>
          <w:tcPr>
            <w:tcW w:type="dxa" w:w="129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Public/Prot</w:t>
            </w:r>
          </w:p>
        </w:tc>
        <w:tc>
          <w:tcPr>
            <w:tcW w:type="dxa" w:w="201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groqService.js</w:t>
            </w:r>
          </w:p>
        </w:tc>
        <w:tc>
          <w:tcPr>
            <w:tcW w:type="dxa" w:w="3888"/>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Streams conversational VITA clinical AI guidance; injects patient health profile context.</w:t>
            </w:r>
          </w:p>
        </w:tc>
      </w:tr>
      <w:tr>
        <w:trPr>
          <w:cantSplit/>
        </w:trPr>
        <w:tc>
          <w:tcPr>
            <w:tcW w:type="dxa" w:w="2592"/>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POST /api/support/analyze-image</w:t>
            </w:r>
          </w:p>
        </w:tc>
        <w:tc>
          <w:tcPr>
            <w:tcW w:type="dxa" w:w="129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Protected</w:t>
            </w:r>
          </w:p>
        </w:tc>
        <w:tc>
          <w:tcPr>
            <w:tcW w:type="dxa" w:w="201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visionService.js</w:t>
            </w:r>
          </w:p>
        </w:tc>
        <w:tc>
          <w:tcPr>
            <w:tcW w:type="dxa" w:w="3888"/>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Executes multimodal clinical image analysis via Gemini 3 Vision using uploaded photo.</w:t>
            </w:r>
          </w:p>
        </w:tc>
      </w:tr>
      <w:tr>
        <w:trPr>
          <w:cantSplit/>
        </w:trPr>
        <w:tc>
          <w:tcPr>
            <w:tcW w:type="dxa" w:w="2592"/>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POST /api/support/scan-prescription</w:t>
            </w:r>
          </w:p>
        </w:tc>
        <w:tc>
          <w:tcPr>
            <w:tcW w:type="dxa" w:w="129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Protected</w:t>
            </w:r>
          </w:p>
        </w:tc>
        <w:tc>
          <w:tcPr>
            <w:tcW w:type="dxa" w:w="201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visionService.js</w:t>
            </w:r>
          </w:p>
        </w:tc>
        <w:tc>
          <w:tcPr>
            <w:tcW w:type="dxa" w:w="3888"/>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Parses prescription image using Tesseract.js OCR; outputs structured medicine JSON.</w:t>
            </w:r>
          </w:p>
        </w:tc>
      </w:tr>
      <w:tr>
        <w:trPr>
          <w:cantSplit/>
        </w:trPr>
        <w:tc>
          <w:tcPr>
            <w:tcW w:type="dxa" w:w="2592"/>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GET /api/profile</w:t>
            </w:r>
          </w:p>
        </w:tc>
        <w:tc>
          <w:tcPr>
            <w:tcW w:type="dxa" w:w="129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Protected</w:t>
            </w:r>
          </w:p>
        </w:tc>
        <w:tc>
          <w:tcPr>
            <w:tcW w:type="dxa" w:w="201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profileService.js</w:t>
            </w:r>
          </w:p>
        </w:tc>
        <w:tc>
          <w:tcPr>
            <w:tcW w:type="dxa" w:w="3888"/>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Retrieves complete health profile: blood group, allergies, conditions, height, weight, emergency contacts.</w:t>
            </w:r>
          </w:p>
        </w:tc>
      </w:tr>
    </w:tbl>
    <w:p>
      <w:pPr>
        <w:spacing w:after="80"/>
      </w:pPr>
    </w:p>
    <w:p>
      <w:r>
        <w:br w:type="page"/>
      </w:r>
    </w:p>
    <w:p>
      <w:pPr>
        <w:keepNext/>
        <w:spacing w:before="360" w:after="120"/>
      </w:pPr>
      <w:r>
        <w:rPr>
          <w:rFonts w:ascii="Arial" w:hAnsi="Arial"/>
          <w:b/>
          <w:color w:val="0F766E"/>
          <w:sz w:val="31"/>
        </w:rPr>
        <w:t>7. Database Architecture &amp; Persistence Schemas</w:t>
      </w:r>
    </w:p>
    <w:p>
      <w:pPr>
        <w:spacing w:before="0" w:after="100" w:line="276" w:lineRule="auto"/>
      </w:pPr>
      <w:r>
        <w:rPr>
          <w:rFonts w:ascii="Calibri" w:hAnsi="Calibri"/>
          <w:i w:val="0"/>
          <w:color w:val="1E293B"/>
          <w:sz w:val="21"/>
        </w:rPr>
        <w:t>HealthMitra implements an architectural repository seam that decouples business services from the underlying database engine. The platform natively supports dual persistence modes:</w:t>
      </w:r>
    </w:p>
    <w:p>
      <w:pPr>
        <w:pStyle w:val="ListBullet"/>
        <w:spacing w:before="0" w:after="60" w:line="276" w:lineRule="auto"/>
      </w:pPr>
      <w:r>
        <w:rPr>
          <w:rFonts w:ascii="Calibri" w:hAnsi="Calibri"/>
          <w:b/>
          <w:color w:val="1E293B"/>
          <w:sz w:val="21"/>
        </w:rPr>
        <w:t xml:space="preserve">Mode A: Prototype In-Memory Seeder (memoryStore.js) - </w:t>
      </w:r>
      <w:r>
        <w:rPr>
          <w:rFonts w:ascii="Calibri" w:hAnsi="Calibri"/>
          <w:color w:val="1E293B"/>
          <w:sz w:val="21"/>
        </w:rPr>
        <w:t>An in-memory, seeded JavaScript store mirroring PostgreSQL tables one-to-one. Automatically persists mutations to a local JSON document. Enables instantaneous demonstration, local test execution, and offline development without database dependencies.</w:t>
      </w:r>
    </w:p>
    <w:p>
      <w:pPr>
        <w:pStyle w:val="ListBullet"/>
        <w:spacing w:before="0" w:after="60" w:line="276" w:lineRule="auto"/>
      </w:pPr>
      <w:r>
        <w:rPr>
          <w:rFonts w:ascii="Calibri" w:hAnsi="Calibri"/>
          <w:b/>
          <w:color w:val="1E293B"/>
          <w:sz w:val="21"/>
        </w:rPr>
        <w:t xml:space="preserve">Mode B: Enterprise PostgreSQL Repository (pgRepository.js) - </w:t>
      </w:r>
      <w:r>
        <w:rPr>
          <w:rFonts w:ascii="Calibri" w:hAnsi="Calibri"/>
          <w:color w:val="1E293B"/>
          <w:sz w:val="21"/>
        </w:rPr>
        <w:t>An enterprise relational PostgreSQL 16 schema. Utilizes connection pooling via node-postgres (pg), enforces foreign key constraints, supports indexing on high-frequency query paths (patient_id, scheduled_for, created_at), and guarantees ACID transactional safety.</w:t>
      </w:r>
    </w:p>
    <w:p>
      <w:pPr>
        <w:keepNext/>
        <w:spacing w:before="260" w:after="80"/>
      </w:pPr>
      <w:r>
        <w:rPr>
          <w:rFonts w:ascii="Arial" w:hAnsi="Arial"/>
          <w:b/>
          <w:color w:val="1E293B"/>
          <w:sz w:val="25"/>
        </w:rPr>
        <w:t>Relational Schema Data Dictionary</w:t>
      </w:r>
    </w:p>
    <w:p>
      <w:pPr>
        <w:spacing w:before="0" w:after="100" w:line="276" w:lineRule="auto"/>
      </w:pPr>
      <w:r>
        <w:rPr>
          <w:rFonts w:ascii="Calibri" w:hAnsi="Calibri"/>
          <w:i w:val="0"/>
          <w:color w:val="1E293B"/>
          <w:sz w:val="21"/>
        </w:rPr>
        <w:t>The production PostgreSQL database consists of 10 primary relational tables designed to capture every aspect of patient care and clinical adherence:</w:t>
      </w:r>
    </w:p>
    <w:tbl>
      <w:tblPr>
        <w:tblW w:type="auto" w:w="0"/>
        <w:jc w:val="center"/>
        <w:tblLayout w:type="fixed"/>
        <w:tblLook w:firstColumn="1" w:firstRow="1" w:lastColumn="0" w:lastRow="0" w:noHBand="0" w:noVBand="1" w:val="04A0"/>
      </w:tblPr>
      <w:tblGrid>
        <w:gridCol w:w="2520"/>
        <w:gridCol w:w="2520"/>
        <w:gridCol w:w="2520"/>
        <w:gridCol w:w="2520"/>
      </w:tblGrid>
      <w:tr>
        <w:trPr>
          <w:cantSplit/>
        </w:trPr>
        <w:tc>
          <w:tcPr>
            <w:tcW w:type="dxa" w:w="1728"/>
            <w:shd w:fill="1E293B"/>
            <w:tcMar>
              <w:top w:w="90" w:type="dxa"/>
              <w:bottom w:w="90" w:type="dxa"/>
              <w:left w:w="120" w:type="dxa"/>
              <w:right w:w="120" w:type="dxa"/>
            </w:tcMar>
            <w:tcBorders>
              <w:top w:val="single" w:sz="4" w:space="0" w:color="E2E8F0"/>
              <w:bottom w:val="single" w:sz="4" w:space="0" w:color="E2E8F0"/>
              <w:left w:val="none"/>
              <w:right w:val="none"/>
            </w:tcBorders>
          </w:tcPr>
          <w:p>
            <w:pPr>
              <w:jc w:val="left"/>
            </w:pPr>
            <w:r>
              <w:rPr>
                <w:rFonts w:ascii="Arial" w:hAnsi="Arial"/>
                <w:b/>
                <w:color w:val="FFFFFF"/>
                <w:sz w:val="19"/>
              </w:rPr>
              <w:t>Table Name</w:t>
            </w:r>
          </w:p>
        </w:tc>
        <w:tc>
          <w:tcPr>
            <w:tcW w:type="dxa" w:w="1296"/>
            <w:shd w:fill="1E293B"/>
            <w:tcMar>
              <w:top w:w="90" w:type="dxa"/>
              <w:bottom w:w="90" w:type="dxa"/>
              <w:left w:w="120" w:type="dxa"/>
              <w:right w:w="120" w:type="dxa"/>
            </w:tcMar>
            <w:tcBorders>
              <w:top w:val="single" w:sz="4" w:space="0" w:color="E2E8F0"/>
              <w:bottom w:val="single" w:sz="4" w:space="0" w:color="E2E8F0"/>
              <w:left w:val="none"/>
              <w:right w:val="none"/>
            </w:tcBorders>
          </w:tcPr>
          <w:p>
            <w:pPr>
              <w:jc w:val="left"/>
            </w:pPr>
            <w:r>
              <w:rPr>
                <w:rFonts w:ascii="Arial" w:hAnsi="Arial"/>
                <w:b/>
                <w:color w:val="FFFFFF"/>
                <w:sz w:val="19"/>
              </w:rPr>
              <w:t>Primary Key</w:t>
            </w:r>
          </w:p>
        </w:tc>
        <w:tc>
          <w:tcPr>
            <w:tcW w:type="dxa" w:w="1728"/>
            <w:shd w:fill="1E293B"/>
            <w:tcMar>
              <w:top w:w="90" w:type="dxa"/>
              <w:bottom w:w="90" w:type="dxa"/>
              <w:left w:w="120" w:type="dxa"/>
              <w:right w:w="120" w:type="dxa"/>
            </w:tcMar>
            <w:tcBorders>
              <w:top w:val="single" w:sz="4" w:space="0" w:color="E2E8F0"/>
              <w:bottom w:val="single" w:sz="4" w:space="0" w:color="E2E8F0"/>
              <w:left w:val="none"/>
              <w:right w:val="none"/>
            </w:tcBorders>
          </w:tcPr>
          <w:p>
            <w:pPr>
              <w:jc w:val="left"/>
            </w:pPr>
            <w:r>
              <w:rPr>
                <w:rFonts w:ascii="Arial" w:hAnsi="Arial"/>
                <w:b/>
                <w:color w:val="FFFFFF"/>
                <w:sz w:val="19"/>
              </w:rPr>
              <w:t>Foreign Keys</w:t>
            </w:r>
          </w:p>
        </w:tc>
        <w:tc>
          <w:tcPr>
            <w:tcW w:type="dxa" w:w="5040"/>
            <w:shd w:fill="1E293B"/>
            <w:tcMar>
              <w:top w:w="90" w:type="dxa"/>
              <w:bottom w:w="90" w:type="dxa"/>
              <w:left w:w="120" w:type="dxa"/>
              <w:right w:w="120" w:type="dxa"/>
            </w:tcMar>
            <w:tcBorders>
              <w:top w:val="single" w:sz="4" w:space="0" w:color="E2E8F0"/>
              <w:bottom w:val="single" w:sz="4" w:space="0" w:color="E2E8F0"/>
              <w:left w:val="none"/>
              <w:right w:val="none"/>
            </w:tcBorders>
          </w:tcPr>
          <w:p>
            <w:pPr>
              <w:jc w:val="left"/>
            </w:pPr>
            <w:r>
              <w:rPr>
                <w:rFonts w:ascii="Arial" w:hAnsi="Arial"/>
                <w:b/>
                <w:color w:val="FFFFFF"/>
                <w:sz w:val="19"/>
              </w:rPr>
              <w:t>Critical Columns &amp; Relational Role</w:t>
            </w:r>
          </w:p>
        </w:tc>
      </w:tr>
      <w:tr>
        <w:trPr>
          <w:cantSplit/>
        </w:trPr>
        <w:tc>
          <w:tcPr>
            <w:tcW w:type="dxa" w:w="1728"/>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users</w:t>
            </w:r>
          </w:p>
        </w:tc>
        <w:tc>
          <w:tcPr>
            <w:tcW w:type="dxa" w:w="129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id (UUID)</w:t>
            </w:r>
          </w:p>
        </w:tc>
        <w:tc>
          <w:tcPr>
            <w:tcW w:type="dxa" w:w="1728"/>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None</w:t>
            </w:r>
          </w:p>
        </w:tc>
        <w:tc>
          <w:tcPr>
            <w:tcW w:type="dxa" w:w="5040"/>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name, email, password_hash, role ('patient'|'caregiver'), phone, blood_group, conditions (TEXT[]), allergies (TEXT[]), dob, height, weight, emergency_contact_phone.</w:t>
            </w:r>
          </w:p>
        </w:tc>
      </w:tr>
      <w:tr>
        <w:trPr>
          <w:cantSplit/>
        </w:trPr>
        <w:tc>
          <w:tcPr>
            <w:tcW w:type="dxa" w:w="1728"/>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links</w:t>
            </w:r>
          </w:p>
        </w:tc>
        <w:tc>
          <w:tcPr>
            <w:tcW w:type="dxa" w:w="129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id (UUID)</w:t>
            </w:r>
          </w:p>
        </w:tc>
        <w:tc>
          <w:tcPr>
            <w:tcW w:type="dxa" w:w="1728"/>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caregiver_id, patient_id</w:t>
            </w:r>
          </w:p>
        </w:tc>
        <w:tc>
          <w:tcPr>
            <w:tcW w:type="dxa" w:w="5040"/>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status ('active'|'pending'), permissions ('view'|'edit'), code (6-character alphanumeric pairing token). Manages care relationship.</w:t>
            </w:r>
          </w:p>
        </w:tc>
      </w:tr>
      <w:tr>
        <w:trPr>
          <w:cantSplit/>
        </w:trPr>
        <w:tc>
          <w:tcPr>
            <w:tcW w:type="dxa" w:w="1728"/>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medications</w:t>
            </w:r>
          </w:p>
        </w:tc>
        <w:tc>
          <w:tcPr>
            <w:tcW w:type="dxa" w:w="129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id (UUID)</w:t>
            </w:r>
          </w:p>
        </w:tc>
        <w:tc>
          <w:tcPr>
            <w:tcW w:type="dxa" w:w="1728"/>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patient_id -&gt; users(id)</w:t>
            </w:r>
          </w:p>
        </w:tc>
        <w:tc>
          <w:tcPr>
            <w:tcW w:type="dxa" w:w="5040"/>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name, dosage, form ('tablet'|'syrup'|'injection'), frequency ('once'|'twice'|'thrice'), schedule_times (TEXT[]), instructions, food_timing ('before'|'after'|'with'), active (BOOL).</w:t>
            </w:r>
          </w:p>
        </w:tc>
      </w:tr>
      <w:tr>
        <w:trPr>
          <w:cantSplit/>
        </w:trPr>
        <w:tc>
          <w:tcPr>
            <w:tcW w:type="dxa" w:w="1728"/>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dose_logs</w:t>
            </w:r>
          </w:p>
        </w:tc>
        <w:tc>
          <w:tcPr>
            <w:tcW w:type="dxa" w:w="129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id (UUID)</w:t>
            </w:r>
          </w:p>
        </w:tc>
        <w:tc>
          <w:tcPr>
            <w:tcW w:type="dxa" w:w="1728"/>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medication_id, patient_id</w:t>
            </w:r>
          </w:p>
        </w:tc>
        <w:tc>
          <w:tcPr>
            <w:tcW w:type="dxa" w:w="5040"/>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scheduled_for (TIMESTAMPTZ), status ('pending'|'taken'|'skipped'|'missed'), confirmed_at (TIMESTAMPTZ), method ('tap'|'voice'|'caregiver'), notes. Primary adherence audit trail.</w:t>
            </w:r>
          </w:p>
        </w:tc>
      </w:tr>
      <w:tr>
        <w:trPr>
          <w:cantSplit/>
        </w:trPr>
        <w:tc>
          <w:tcPr>
            <w:tcW w:type="dxa" w:w="1728"/>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alerts</w:t>
            </w:r>
          </w:p>
        </w:tc>
        <w:tc>
          <w:tcPr>
            <w:tcW w:type="dxa" w:w="129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id (UUID)</w:t>
            </w:r>
          </w:p>
        </w:tc>
        <w:tc>
          <w:tcPr>
            <w:tcW w:type="dxa" w:w="1728"/>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patient_id -&gt; users(id)</w:t>
            </w:r>
          </w:p>
        </w:tc>
        <w:tc>
          <w:tcPr>
            <w:tcW w:type="dxa" w:w="5040"/>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type ('missed-dose'|'sos'|'low-adherence'|'dose-taken'), message, severity ('info'|'warning'|'critical'), read (BOOL), created_at. Drives caregiver telemetry feed.</w:t>
            </w:r>
          </w:p>
        </w:tc>
      </w:tr>
      <w:tr>
        <w:trPr>
          <w:cantSplit/>
        </w:trPr>
        <w:tc>
          <w:tcPr>
            <w:tcW w:type="dxa" w:w="1728"/>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notifications</w:t>
            </w:r>
          </w:p>
        </w:tc>
        <w:tc>
          <w:tcPr>
            <w:tcW w:type="dxa" w:w="129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id (UUID)</w:t>
            </w:r>
          </w:p>
        </w:tc>
        <w:tc>
          <w:tcPr>
            <w:tcW w:type="dxa" w:w="1728"/>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user_id -&gt; users(id)</w:t>
            </w:r>
          </w:p>
        </w:tc>
        <w:tc>
          <w:tcPr>
            <w:tcW w:type="dxa" w:w="5040"/>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title, body, type, read (BOOL), metadata (JSONB). In-app notification delivery inbox.</w:t>
            </w:r>
          </w:p>
        </w:tc>
      </w:tr>
      <w:tr>
        <w:trPr>
          <w:cantSplit/>
        </w:trPr>
        <w:tc>
          <w:tcPr>
            <w:tcW w:type="dxa" w:w="1728"/>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sos_events</w:t>
            </w:r>
          </w:p>
        </w:tc>
        <w:tc>
          <w:tcPr>
            <w:tcW w:type="dxa" w:w="129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id (UUID)</w:t>
            </w:r>
          </w:p>
        </w:tc>
        <w:tc>
          <w:tcPr>
            <w:tcW w:type="dxa" w:w="1728"/>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patient_id -&gt; users(id)</w:t>
            </w:r>
          </w:p>
        </w:tc>
        <w:tc>
          <w:tcPr>
            <w:tcW w:type="dxa" w:w="5040"/>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latitude (DECIMAL), longitude (DECIMAL), accuracy (DECIMAL), status ('open'|'acknowledged'|'resolved'), dispatched_at. Emergency incident audit record.</w:t>
            </w:r>
          </w:p>
        </w:tc>
      </w:tr>
      <w:tr>
        <w:trPr>
          <w:cantSplit/>
        </w:trPr>
        <w:tc>
          <w:tcPr>
            <w:tcW w:type="dxa" w:w="1728"/>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checkups</w:t>
            </w:r>
          </w:p>
        </w:tc>
        <w:tc>
          <w:tcPr>
            <w:tcW w:type="dxa" w:w="129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id (UUID)</w:t>
            </w:r>
          </w:p>
        </w:tc>
        <w:tc>
          <w:tcPr>
            <w:tcW w:type="dxa" w:w="1728"/>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patient_id -&gt; users(id)</w:t>
            </w:r>
          </w:p>
        </w:tc>
        <w:tc>
          <w:tcPr>
            <w:tcW w:type="dxa" w:w="5040"/>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title, scheduled_date, notes, doctor_name, completed (BOOL). Routine clinical visits and vitals checkups.</w:t>
            </w:r>
          </w:p>
        </w:tc>
      </w:tr>
      <w:tr>
        <w:trPr>
          <w:cantSplit/>
        </w:trPr>
        <w:tc>
          <w:tcPr>
            <w:tcW w:type="dxa" w:w="1728"/>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chemists</w:t>
            </w:r>
          </w:p>
        </w:tc>
        <w:tc>
          <w:tcPr>
            <w:tcW w:type="dxa" w:w="129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id (UUID)</w:t>
            </w:r>
          </w:p>
        </w:tc>
        <w:tc>
          <w:tcPr>
            <w:tcW w:type="dxa" w:w="1728"/>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None</w:t>
            </w:r>
          </w:p>
        </w:tc>
        <w:tc>
          <w:tcPr>
            <w:tcW w:type="dxa" w:w="5040"/>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name, phone, address, delivery_available (BOOL). Local pharmacy supplier directory.</w:t>
            </w:r>
          </w:p>
        </w:tc>
      </w:tr>
      <w:tr>
        <w:trPr>
          <w:cantSplit/>
        </w:trPr>
        <w:tc>
          <w:tcPr>
            <w:tcW w:type="dxa" w:w="1728"/>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doctors</w:t>
            </w:r>
          </w:p>
        </w:tc>
        <w:tc>
          <w:tcPr>
            <w:tcW w:type="dxa" w:w="129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id (UUID)</w:t>
            </w:r>
          </w:p>
        </w:tc>
        <w:tc>
          <w:tcPr>
            <w:tcW w:type="dxa" w:w="1728"/>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None</w:t>
            </w:r>
          </w:p>
        </w:tc>
        <w:tc>
          <w:tcPr>
            <w:tcW w:type="dxa" w:w="5040"/>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name, specialty, phone, clinic_address, hospital_affiliation. Primary healthcare provider directory.</w:t>
            </w:r>
          </w:p>
        </w:tc>
      </w:tr>
    </w:tbl>
    <w:p>
      <w:pPr>
        <w:spacing w:after="80"/>
      </w:pPr>
    </w:p>
    <w:p>
      <w:r>
        <w:br w:type="page"/>
      </w:r>
    </w:p>
    <w:p>
      <w:pPr>
        <w:keepNext/>
        <w:spacing w:before="360" w:after="120"/>
      </w:pPr>
      <w:r>
        <w:rPr>
          <w:rFonts w:ascii="Arial" w:hAnsi="Arial"/>
          <w:b/>
          <w:color w:val="0F766E"/>
          <w:sz w:val="31"/>
        </w:rPr>
        <w:t>8. Artificial Intelligence &amp; Multimodal Clinical Vision</w:t>
      </w:r>
    </w:p>
    <w:p>
      <w:pPr>
        <w:spacing w:before="0" w:after="100" w:line="276" w:lineRule="auto"/>
      </w:pPr>
      <w:r>
        <w:rPr>
          <w:rFonts w:ascii="Calibri" w:hAnsi="Calibri"/>
          <w:i w:val="0"/>
          <w:color w:val="1E293B"/>
          <w:sz w:val="21"/>
        </w:rPr>
        <w:t>HealthMitra integrates advanced multimodal artificial intelligence to transform the device into an active clinical assistant. The AI subsystems are categorized into two complementary intelligence pillars:</w:t>
      </w:r>
    </w:p>
    <w:p>
      <w:pPr>
        <w:keepNext/>
        <w:spacing w:before="260" w:after="80"/>
      </w:pPr>
      <w:r>
        <w:rPr>
          <w:rFonts w:ascii="Arial" w:hAnsi="Arial"/>
          <w:b/>
          <w:color w:val="1E293B"/>
          <w:sz w:val="25"/>
        </w:rPr>
        <w:t>Pillar 1: Multimodal Clinical Vision Analysis (Google Gemini 3 Preview)</w:t>
      </w:r>
    </w:p>
    <w:p>
      <w:pPr>
        <w:spacing w:before="0" w:after="100" w:line="276" w:lineRule="auto"/>
      </w:pPr>
      <w:r>
        <w:rPr>
          <w:rFonts w:ascii="Calibri" w:hAnsi="Calibri"/>
          <w:i w:val="0"/>
          <w:color w:val="1E293B"/>
          <w:sz w:val="21"/>
        </w:rPr>
        <w:t>Elderly patients frequently experience sudden dermatological symptoms (such as contact dermatitis, cellulitis, shingles/herpes zoster, urticaria, or fungal tinea rashes) as well as diabetic foot ulcerations and physical trauma from minor domestic falls. HealthMitra connects directly to Google's state-of-the-art Gemini 3 multimodal vision architecture (via the RESTful generateContent API) to deliver rapid preliminary clinical triage:</w:t>
      </w:r>
    </w:p>
    <w:p>
      <w:pPr>
        <w:pStyle w:val="ListBullet"/>
        <w:spacing w:before="0" w:after="60" w:line="276" w:lineRule="auto"/>
      </w:pPr>
      <w:r>
        <w:rPr>
          <w:rFonts w:ascii="Calibri" w:hAnsi="Calibri"/>
          <w:b/>
          <w:color w:val="1E293B"/>
          <w:sz w:val="21"/>
        </w:rPr>
        <w:t xml:space="preserve">Contextual Fusion: </w:t>
      </w:r>
      <w:r>
        <w:rPr>
          <w:rFonts w:ascii="Calibri" w:hAnsi="Calibri"/>
          <w:color w:val="1E293B"/>
          <w:sz w:val="21"/>
        </w:rPr>
        <w:t>The client compresses the camera photograph or uploaded file into base64 JPEG format, packaging it alongside any user-selected symptom chips (+ Itching, + Burning, + Spreading, + Fever) and active patient profile data (age, known allergies, chronic conditions).</w:t>
      </w:r>
    </w:p>
    <w:p>
      <w:pPr>
        <w:pStyle w:val="ListBullet"/>
        <w:spacing w:before="0" w:after="60" w:line="276" w:lineRule="auto"/>
      </w:pPr>
      <w:r>
        <w:rPr>
          <w:rFonts w:ascii="Calibri" w:hAnsi="Calibri"/>
          <w:b/>
          <w:color w:val="1E293B"/>
          <w:sz w:val="21"/>
        </w:rPr>
        <w:t xml:space="preserve">Structured Clinical Output: </w:t>
      </w:r>
      <w:r>
        <w:rPr>
          <w:rFonts w:ascii="Calibri" w:hAnsi="Calibri"/>
          <w:color w:val="1E293B"/>
          <w:sz w:val="21"/>
        </w:rPr>
        <w:t>The model is bound by a rigorous clinical system prompt instructing it to act as an expert clinical dermatology and triage physician. It structures its response into: (1) Clinical Visual Observations, (2) Potential Causes &amp; Differential Possibilities, (3) Recommended Immediate Home Care, (4) Critical Red-Flag Emergency Symptoms, and (5) Urgent Action Level (Self-Care vs Routine Clinic vs Immediate ER).</w:t>
      </w:r>
    </w:p>
    <w:p>
      <w:pPr>
        <w:pStyle w:val="ListBullet"/>
        <w:spacing w:before="0" w:after="60" w:line="276" w:lineRule="auto"/>
      </w:pPr>
      <w:r>
        <w:rPr>
          <w:rFonts w:ascii="Calibri" w:hAnsi="Calibri"/>
          <w:b/>
          <w:color w:val="1E293B"/>
          <w:sz w:val="21"/>
        </w:rPr>
        <w:t xml:space="preserve">Brand Abstraction &amp; Safety Boundaries: </w:t>
      </w:r>
      <w:r>
        <w:rPr>
          <w:rFonts w:ascii="Calibri" w:hAnsi="Calibri"/>
          <w:color w:val="1E293B"/>
          <w:sz w:val="21"/>
        </w:rPr>
        <w:t>To maintain strict medical ethics and regulatory safety, all AI output strips provider/model branding, labels itself purely as 'Mitra Vision AI', and appends mandatory non-prescriptive disclaimers emphasizing that AI cannot substitute for in-person medical evaluation.</w:t>
      </w:r>
    </w:p>
    <w:p>
      <w:pPr>
        <w:keepNext/>
        <w:spacing w:before="260" w:after="80"/>
      </w:pPr>
      <w:r>
        <w:rPr>
          <w:rFonts w:ascii="Arial" w:hAnsi="Arial"/>
          <w:b/>
          <w:color w:val="1E293B"/>
          <w:sz w:val="25"/>
        </w:rPr>
        <w:t>Pillar 2: Conversational Clinical Intelligence (Meta Llama 3.3 70B via Groq Cloud)</w:t>
      </w:r>
    </w:p>
    <w:p>
      <w:pPr>
        <w:spacing w:before="0" w:after="100" w:line="276" w:lineRule="auto"/>
      </w:pPr>
      <w:r>
        <w:rPr>
          <w:rFonts w:ascii="Calibri" w:hAnsi="Calibri"/>
          <w:i w:val="0"/>
          <w:color w:val="1E293B"/>
          <w:sz w:val="21"/>
        </w:rPr>
        <w:t>For textual health inquiries, medication guidance, dietary precautions, and drug-food interaction checks, HealthMitra utilizes Meta's open-weights Llama 3.3 70B Versatile model running on Groq Cloud's Language Processing Units (LPUs):</w:t>
      </w:r>
    </w:p>
    <w:p>
      <w:pPr>
        <w:pStyle w:val="ListBullet"/>
        <w:spacing w:before="0" w:after="60" w:line="276" w:lineRule="auto"/>
      </w:pPr>
      <w:r>
        <w:rPr>
          <w:rFonts w:ascii="Calibri" w:hAnsi="Calibri"/>
          <w:b/>
          <w:color w:val="1E293B"/>
          <w:sz w:val="21"/>
        </w:rPr>
        <w:t xml:space="preserve">Sub-Second Latency: </w:t>
      </w:r>
      <w:r>
        <w:rPr>
          <w:rFonts w:ascii="Calibri" w:hAnsi="Calibri"/>
          <w:color w:val="1E293B"/>
          <w:sz w:val="21"/>
        </w:rPr>
        <w:t>Inference tokens stream at speeds exceeding 300 tokens/second, eliminating the cognitive frustration elderly users experience when waiting for slow, lagging AI responses.</w:t>
      </w:r>
    </w:p>
    <w:p>
      <w:pPr>
        <w:pStyle w:val="ListBullet"/>
        <w:spacing w:before="0" w:after="60" w:line="276" w:lineRule="auto"/>
      </w:pPr>
      <w:r>
        <w:rPr>
          <w:rFonts w:ascii="Calibri" w:hAnsi="Calibri"/>
          <w:b/>
          <w:color w:val="1E293B"/>
          <w:sz w:val="21"/>
        </w:rPr>
        <w:t xml:space="preserve">Dynamic Profile Grounding: </w:t>
      </w:r>
      <w:r>
        <w:rPr>
          <w:rFonts w:ascii="Calibri" w:hAnsi="Calibri"/>
          <w:color w:val="1E293B"/>
          <w:sz w:val="21"/>
        </w:rPr>
        <w:t>Every prompt automatically injects the patient's existing medication list and chronic conditions. For example, if a patient asks 'Can I take ibuprofen for my headache?', the model cross-references their profile, identifies their hypertension diagnosis, and advises against NSAIDs due to blood pressure escalation and renal risks.</w:t>
      </w:r>
    </w:p>
    <w:p>
      <w:pPr>
        <w:pStyle w:val="ListBullet"/>
        <w:spacing w:before="0" w:after="60" w:line="276" w:lineRule="auto"/>
      </w:pPr>
      <w:r>
        <w:rPr>
          <w:rFonts w:ascii="Calibri" w:hAnsi="Calibri"/>
          <w:b/>
          <w:color w:val="1E293B"/>
          <w:sz w:val="21"/>
        </w:rPr>
        <w:t xml:space="preserve">Rule-Based Offline Fallback: </w:t>
      </w:r>
      <w:r>
        <w:rPr>
          <w:rFonts w:ascii="Calibri" w:hAnsi="Calibri"/>
          <w:color w:val="1E293B"/>
          <w:sz w:val="21"/>
        </w:rPr>
        <w:t>If the external cloud AI endpoint suffers from network disconnection or rate-limiting, HealthMitra automatically falls back to an embedded clinical knowledge base comprising 15+ pre-compiled medical safety patterns (covering insulin administration, diabetic hypoglycemia protocols, antibiotic completion rules, and emergency guidelines).</w:t>
      </w:r>
    </w:p>
    <w:p>
      <w:r>
        <w:br w:type="page"/>
      </w:r>
    </w:p>
    <w:p>
      <w:pPr>
        <w:keepNext/>
        <w:spacing w:before="360" w:after="120"/>
      </w:pPr>
      <w:r>
        <w:rPr>
          <w:rFonts w:ascii="Arial" w:hAnsi="Arial"/>
          <w:b/>
          <w:color w:val="0F766E"/>
          <w:sz w:val="31"/>
        </w:rPr>
        <w:t>9. Rigorous System Audit: Flaws, Cons, Technical Debt &amp; Risks</w:t>
      </w:r>
    </w:p>
    <w:p>
      <w:pPr>
        <w:spacing w:before="0" w:after="100" w:line="276" w:lineRule="auto"/>
      </w:pPr>
      <w:r>
        <w:rPr>
          <w:rFonts w:ascii="Calibri" w:hAnsi="Calibri"/>
          <w:i w:val="0"/>
          <w:color w:val="1E293B"/>
          <w:sz w:val="21"/>
        </w:rPr>
        <w:t>A rigorous, unsparing engineering audit must clearly identify the structural flaws, security risks, scalability bottlenecks, and clinical limitations inherent in the current HealthMitra codebase. The following declassified audit breaks down these vulnerabilities into seven major failure domains:</w:t>
      </w:r>
    </w:p>
    <w:tbl>
      <w:tblPr>
        <w:tblW w:type="auto" w:w="0"/>
        <w:jc w:val="center"/>
        <w:tblLayout w:type="fixed"/>
        <w:tblLook w:firstColumn="1" w:firstRow="1" w:lastColumn="0" w:lastRow="0" w:noHBand="0" w:noVBand="1" w:val="04A0"/>
      </w:tblPr>
      <w:tblGrid>
        <w:gridCol w:w="2520"/>
        <w:gridCol w:w="2520"/>
        <w:gridCol w:w="2520"/>
        <w:gridCol w:w="2520"/>
      </w:tblGrid>
      <w:tr>
        <w:trPr>
          <w:cantSplit/>
        </w:trPr>
        <w:tc>
          <w:tcPr>
            <w:tcW w:type="dxa" w:w="2160"/>
            <w:shd w:fill="1E293B"/>
            <w:tcMar>
              <w:top w:w="90" w:type="dxa"/>
              <w:bottom w:w="90" w:type="dxa"/>
              <w:left w:w="120" w:type="dxa"/>
              <w:right w:w="120" w:type="dxa"/>
            </w:tcMar>
            <w:tcBorders>
              <w:top w:val="single" w:sz="4" w:space="0" w:color="E2E8F0"/>
              <w:bottom w:val="single" w:sz="4" w:space="0" w:color="E2E8F0"/>
              <w:left w:val="none"/>
              <w:right w:val="none"/>
            </w:tcBorders>
          </w:tcPr>
          <w:p>
            <w:pPr>
              <w:jc w:val="left"/>
            </w:pPr>
            <w:r>
              <w:rPr>
                <w:rFonts w:ascii="Arial" w:hAnsi="Arial"/>
                <w:b/>
                <w:color w:val="FFFFFF"/>
                <w:sz w:val="19"/>
              </w:rPr>
              <w:t>Vulnerability / Flaw Domain</w:t>
            </w:r>
          </w:p>
        </w:tc>
        <w:tc>
          <w:tcPr>
            <w:tcW w:type="dxa" w:w="1296"/>
            <w:shd w:fill="1E293B"/>
            <w:tcMar>
              <w:top w:w="90" w:type="dxa"/>
              <w:bottom w:w="90" w:type="dxa"/>
              <w:left w:w="120" w:type="dxa"/>
              <w:right w:w="120" w:type="dxa"/>
            </w:tcMar>
            <w:tcBorders>
              <w:top w:val="single" w:sz="4" w:space="0" w:color="E2E8F0"/>
              <w:bottom w:val="single" w:sz="4" w:space="0" w:color="E2E8F0"/>
              <w:left w:val="none"/>
              <w:right w:val="none"/>
            </w:tcBorders>
          </w:tcPr>
          <w:p>
            <w:pPr>
              <w:jc w:val="left"/>
            </w:pPr>
            <w:r>
              <w:rPr>
                <w:rFonts w:ascii="Arial" w:hAnsi="Arial"/>
                <w:b/>
                <w:color w:val="FFFFFF"/>
                <w:sz w:val="19"/>
              </w:rPr>
              <w:t>Severity Tier</w:t>
            </w:r>
          </w:p>
        </w:tc>
        <w:tc>
          <w:tcPr>
            <w:tcW w:type="dxa" w:w="2592"/>
            <w:shd w:fill="1E293B"/>
            <w:tcMar>
              <w:top w:w="90" w:type="dxa"/>
              <w:bottom w:w="90" w:type="dxa"/>
              <w:left w:w="120" w:type="dxa"/>
              <w:right w:w="120" w:type="dxa"/>
            </w:tcMar>
            <w:tcBorders>
              <w:top w:val="single" w:sz="4" w:space="0" w:color="E2E8F0"/>
              <w:bottom w:val="single" w:sz="4" w:space="0" w:color="E2E8F0"/>
              <w:left w:val="none"/>
              <w:right w:val="none"/>
            </w:tcBorders>
          </w:tcPr>
          <w:p>
            <w:pPr>
              <w:jc w:val="left"/>
            </w:pPr>
            <w:r>
              <w:rPr>
                <w:rFonts w:ascii="Arial" w:hAnsi="Arial"/>
                <w:b/>
                <w:color w:val="FFFFFF"/>
                <w:sz w:val="19"/>
              </w:rPr>
              <w:t>Root Cause in Current Codebase</w:t>
            </w:r>
          </w:p>
        </w:tc>
        <w:tc>
          <w:tcPr>
            <w:tcW w:type="dxa" w:w="3744"/>
            <w:shd w:fill="1E293B"/>
            <w:tcMar>
              <w:top w:w="90" w:type="dxa"/>
              <w:bottom w:w="90" w:type="dxa"/>
              <w:left w:w="120" w:type="dxa"/>
              <w:right w:w="120" w:type="dxa"/>
            </w:tcMar>
            <w:tcBorders>
              <w:top w:val="single" w:sz="4" w:space="0" w:color="E2E8F0"/>
              <w:bottom w:val="single" w:sz="4" w:space="0" w:color="E2E8F0"/>
              <w:left w:val="none"/>
              <w:right w:val="none"/>
            </w:tcBorders>
          </w:tcPr>
          <w:p>
            <w:pPr>
              <w:jc w:val="left"/>
            </w:pPr>
            <w:r>
              <w:rPr>
                <w:rFonts w:ascii="Arial" w:hAnsi="Arial"/>
                <w:b/>
                <w:color w:val="FFFFFF"/>
                <w:sz w:val="19"/>
              </w:rPr>
              <w:t>Real-World Clinical &amp; Operational Risk</w:t>
            </w:r>
          </w:p>
        </w:tc>
      </w:tr>
      <w:tr>
        <w:trPr>
          <w:cantSplit/>
        </w:trPr>
        <w:tc>
          <w:tcPr>
            <w:tcW w:type="dxa" w:w="2160"/>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Authentication &amp; Session Tokens</w:t>
            </w:r>
          </w:p>
        </w:tc>
        <w:tc>
          <w:tcPr>
            <w:tcW w:type="dxa" w:w="129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CRITICAL</w:t>
            </w:r>
          </w:p>
        </w:tc>
        <w:tc>
          <w:tcPr>
            <w:tcW w:type="dxa" w:w="2592"/>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Client transmits unencrypted user ID in 'x-user-id' HTTP header instead of cryptographically signed JWT/OAuth2 tokens.</w:t>
            </w:r>
          </w:p>
        </w:tc>
        <w:tc>
          <w:tcPr>
            <w:tcW w:type="dxa" w:w="3744"/>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Any attacker on the local network can spoof the x-user-id header and maliciously access or alter patient prescription records.</w:t>
            </w:r>
          </w:p>
        </w:tc>
      </w:tr>
      <w:tr>
        <w:trPr>
          <w:cantSplit/>
        </w:trPr>
        <w:tc>
          <w:tcPr>
            <w:tcW w:type="dxa" w:w="2160"/>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In-Memory Concurrency Seam</w:t>
            </w:r>
          </w:p>
        </w:tc>
        <w:tc>
          <w:tcPr>
            <w:tcW w:type="dxa" w:w="129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HIGH</w:t>
            </w:r>
          </w:p>
        </w:tc>
        <w:tc>
          <w:tcPr>
            <w:tcW w:type="dxa" w:w="2592"/>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In-memory repository (memoryStore.js) maintains local process state without distributed synchronization across clusters.</w:t>
            </w:r>
          </w:p>
        </w:tc>
        <w:tc>
          <w:tcPr>
            <w:tcW w:type="dxa" w:w="3744"/>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Horizontal scaling across multiple server instances causes state drift, duplicate doses, and inconsistent adherence scores.</w:t>
            </w:r>
          </w:p>
        </w:tc>
      </w:tr>
      <w:tr>
        <w:trPr>
          <w:cantSplit/>
        </w:trPr>
        <w:tc>
          <w:tcPr>
            <w:tcW w:type="dxa" w:w="2160"/>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Browser Audio Autoplay Sandbox</w:t>
            </w:r>
          </w:p>
        </w:tc>
        <w:tc>
          <w:tcPr>
            <w:tcW w:type="dxa" w:w="129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HIGH</w:t>
            </w:r>
          </w:p>
        </w:tc>
        <w:tc>
          <w:tcPr>
            <w:tcW w:type="dxa" w:w="2592"/>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Mobile Chrome &amp; Safari Autoplay Policies block automatic HTML5 audio playback unless triggered by user interaction.</w:t>
            </w:r>
          </w:p>
        </w:tc>
        <w:tc>
          <w:tcPr>
            <w:tcW w:type="dxa" w:w="3744"/>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A scheduled alarm siren will fail to sound if the patient has not interacted with the browser DOM after opening the tab.</w:t>
            </w:r>
          </w:p>
        </w:tc>
      </w:tr>
      <w:tr>
        <w:trPr>
          <w:cantSplit/>
        </w:trPr>
        <w:tc>
          <w:tcPr>
            <w:tcW w:type="dxa" w:w="2160"/>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AI Vision Diagnostic Liability</w:t>
            </w:r>
          </w:p>
        </w:tc>
        <w:tc>
          <w:tcPr>
            <w:tcW w:type="dxa" w:w="129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HIGH</w:t>
            </w:r>
          </w:p>
        </w:tc>
        <w:tc>
          <w:tcPr>
            <w:tcW w:type="dxa" w:w="2592"/>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Gemini 3 Vision lacks regulatory Software as a Medical Device (SaMD) clearance; vulnerable to poor camera lighting/blur.</w:t>
            </w:r>
          </w:p>
        </w:tc>
        <w:tc>
          <w:tcPr>
            <w:tcW w:type="dxa" w:w="3744"/>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Potential false negative on a malignant lesion (e.g. melanoma) or false reassurance regarding an infected diabetic ulcer.</w:t>
            </w:r>
          </w:p>
        </w:tc>
      </w:tr>
      <w:tr>
        <w:trPr>
          <w:cantSplit/>
        </w:trPr>
        <w:tc>
          <w:tcPr>
            <w:tcW w:type="dxa" w:w="2160"/>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Carrier Push Notification Deficit</w:t>
            </w:r>
          </w:p>
        </w:tc>
        <w:tc>
          <w:tcPr>
            <w:tcW w:type="dxa" w:w="129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MEDIUM</w:t>
            </w:r>
          </w:p>
        </w:tc>
        <w:tc>
          <w:tcPr>
            <w:tcW w:type="dxa" w:w="2592"/>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Platform relies on active web browser polling and BroadcastChannel rather than native APNs/FCM or SMS gateways.</w:t>
            </w:r>
          </w:p>
        </w:tc>
        <w:tc>
          <w:tcPr>
            <w:tcW w:type="dxa" w:w="3744"/>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Caregivers will miss critical alarms if their browser tab is closed or suspended in mobile operating system background memory.</w:t>
            </w:r>
          </w:p>
        </w:tc>
      </w:tr>
      <w:tr>
        <w:trPr>
          <w:cantSplit/>
        </w:trPr>
        <w:tc>
          <w:tcPr>
            <w:tcW w:type="dxa" w:w="2160"/>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Offline Resiliency &amp; PWA Absence</w:t>
            </w:r>
          </w:p>
        </w:tc>
        <w:tc>
          <w:tcPr>
            <w:tcW w:type="dxa" w:w="1296"/>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MEDIUM</w:t>
            </w:r>
          </w:p>
        </w:tc>
        <w:tc>
          <w:tcPr>
            <w:tcW w:type="dxa" w:w="2592"/>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Web client lacks Service Worker caching and local IndexedDB database synchronization.</w:t>
            </w:r>
          </w:p>
        </w:tc>
        <w:tc>
          <w:tcPr>
            <w:tcW w:type="dxa" w:w="3744"/>
            <w:shd w:fill="F8FAFC"/>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Platform fails to render or function in rural or semi-urban areas when mobile data connection drops.</w:t>
            </w:r>
          </w:p>
        </w:tc>
      </w:tr>
      <w:tr>
        <w:trPr>
          <w:cantSplit/>
        </w:trPr>
        <w:tc>
          <w:tcPr>
            <w:tcW w:type="dxa" w:w="2160"/>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Pharmacological Regimen Rigidity</w:t>
            </w:r>
          </w:p>
        </w:tc>
        <w:tc>
          <w:tcPr>
            <w:tcW w:type="dxa" w:w="1296"/>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LOW</w:t>
            </w:r>
          </w:p>
        </w:tc>
        <w:tc>
          <w:tcPr>
            <w:tcW w:type="dxa" w:w="2592"/>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Scheduler assumes fixed daily repeating intervals (OD, BID, TID); cannot represent complex steroid tapers or PRN medicines.</w:t>
            </w:r>
          </w:p>
        </w:tc>
        <w:tc>
          <w:tcPr>
            <w:tcW w:type="dxa" w:w="3744"/>
            <w:shd w:fill="FFFFFF"/>
            <w:tcMar>
              <w:top w:w="75" w:type="dxa"/>
              <w:bottom w:w="75" w:type="dxa"/>
              <w:left w:w="110" w:type="dxa"/>
              <w:right w:w="110" w:type="dxa"/>
            </w:tcMar>
            <w:tcBorders>
              <w:top w:val="single" w:sz="4" w:space="0" w:color="E2E8F0"/>
              <w:bottom w:val="single" w:sz="4" w:space="0" w:color="E2E8F0"/>
              <w:left w:val="none"/>
              <w:right w:val="none"/>
            </w:tcBorders>
          </w:tcPr>
          <w:p>
            <w:r>
              <w:rPr>
                <w:rFonts w:ascii="Calibri" w:hAnsi="Calibri"/>
                <w:color w:val="1E293B"/>
                <w:sz w:val="18"/>
              </w:rPr>
              <w:t>Patients on cyclic chemotherapy, Prednisone tapers, or 'take-as-needed' nitroglycerin cannot model their regimens accurately.</w:t>
            </w:r>
          </w:p>
        </w:tc>
      </w:tr>
    </w:tbl>
    <w:p>
      <w:pPr>
        <w:spacing w:after="80"/>
      </w:pPr>
    </w:p>
    <w:p>
      <w:pPr>
        <w:keepNext/>
        <w:spacing w:before="260" w:after="80"/>
      </w:pPr>
      <w:r>
        <w:rPr>
          <w:rFonts w:ascii="Arial" w:hAnsi="Arial"/>
          <w:b/>
          <w:color w:val="1E293B"/>
          <w:sz w:val="25"/>
        </w:rPr>
        <w:t>Detailed Technical Analysis of Identified Shortcomings</w:t>
      </w:r>
    </w:p>
    <w:p>
      <w:pPr>
        <w:spacing w:before="0" w:after="100" w:line="276" w:lineRule="auto"/>
      </w:pPr>
      <w:r>
        <w:rPr>
          <w:rFonts w:ascii="Calibri" w:hAnsi="Calibri"/>
          <w:b/>
          <w:color w:val="1E293B"/>
          <w:sz w:val="21"/>
        </w:rPr>
        <w:t xml:space="preserve">1. Security &amp; Identity Vulnerabilities: </w:t>
      </w:r>
      <w:r>
        <w:rPr>
          <w:rFonts w:ascii="Calibri" w:hAnsi="Calibri"/>
          <w:i w:val="0"/>
          <w:color w:val="1E293B"/>
          <w:sz w:val="21"/>
        </w:rPr>
        <w:t>The current implementation uses a prototype session model where the client stores the raw user UUID in localStorage and forwards it in the x-user-id header. There is no cryptographic signature, no expiration timestamp, and no refresh token rotation mechanism. Furthermore, in prototype mode, passwords in memoryStore.js are stored in plain text or simple hashes. In a production healthcare environment handling Protected Health Information (PHI), this represents an unacceptable HIPAA/GDPR non-compliance violation.</w:t>
      </w:r>
    </w:p>
    <w:p>
      <w:pPr>
        <w:spacing w:before="0" w:after="100" w:line="276" w:lineRule="auto"/>
      </w:pPr>
      <w:r>
        <w:rPr>
          <w:rFonts w:ascii="Calibri" w:hAnsi="Calibri"/>
          <w:b/>
          <w:color w:val="1E293B"/>
          <w:sz w:val="21"/>
        </w:rPr>
        <w:t xml:space="preserve">2. Process Clustering &amp; Concurrency Bottlenecks: </w:t>
      </w:r>
      <w:r>
        <w:rPr>
          <w:rFonts w:ascii="Calibri" w:hAnsi="Calibri"/>
          <w:i w:val="0"/>
          <w:color w:val="1E293B"/>
          <w:sz w:val="21"/>
        </w:rPr>
        <w:t>The background scheduler (reminderScheduler.js) runs inside the single Node.js process using node-cron. If the backend is deployed in a multi-instance containerized environment (such as Kubernetes or AWS ECS behind an Application Load Balancer), every running container instance will independently execute the cron job every minute. Without a distributed locking mechanism (such as Redis Redlock or a PostgreSQL advisory lock), multiple containers will duplicate alert notifications and race to update the same dose_logs record.</w:t>
      </w:r>
    </w:p>
    <w:p>
      <w:pPr>
        <w:spacing w:before="0" w:after="100" w:line="276" w:lineRule="auto"/>
      </w:pPr>
      <w:r>
        <w:rPr>
          <w:rFonts w:ascii="Calibri" w:hAnsi="Calibri"/>
          <w:b/>
          <w:color w:val="1E293B"/>
          <w:sz w:val="21"/>
        </w:rPr>
        <w:t xml:space="preserve">3. Web Audio Autoplay Policy Restrictions: </w:t>
      </w:r>
      <w:r>
        <w:rPr>
          <w:rFonts w:ascii="Calibri" w:hAnsi="Calibri"/>
          <w:i w:val="0"/>
          <w:color w:val="1E293B"/>
          <w:sz w:val="21"/>
        </w:rPr>
        <w:t>Modern web browsers enforce strict security sandboxes preventing unprompted audio generation to prevent intrusive advertisements. While HealthMitra's audio synthesizer works reliably when the user is actively clicking through the workspace, if a tablet is left idle on a bedside table overnight, the browser may suspend the AudioContext. When 08:00 AM arrives, the visual modal will appear, but the acoustic siren will remain silenced until the elder physically touches the glass.</w:t>
      </w:r>
    </w:p>
    <w:p>
      <w:pPr>
        <w:spacing w:before="0" w:after="100" w:line="276" w:lineRule="auto"/>
      </w:pPr>
      <w:r>
        <w:rPr>
          <w:rFonts w:ascii="Calibri" w:hAnsi="Calibri"/>
          <w:b/>
          <w:color w:val="1E293B"/>
          <w:sz w:val="21"/>
        </w:rPr>
        <w:t xml:space="preserve">4. Multimodal AI Diagnostic Edge Cases: </w:t>
      </w:r>
      <w:r>
        <w:rPr>
          <w:rFonts w:ascii="Calibri" w:hAnsi="Calibri"/>
          <w:i w:val="0"/>
          <w:color w:val="1E293B"/>
          <w:sz w:val="21"/>
        </w:rPr>
        <w:t>While Google Gemini 3 Flash represents cutting-edge multimodal intelligence, computer vision applied to clinical dermatology is fundamentally constrained by input quality. Variations in ambient smartphone lighting, lens smudge, low dynamic range, and resolution compression can obscure subtle erythema, lesion border irregularity, or early necrotic margins. Relying on AI image triage without physical palpation and dermoscopy carries inherent clinical liability.</w:t>
      </w:r>
    </w:p>
    <w:p>
      <w:pPr>
        <w:spacing w:before="0" w:after="100" w:line="276" w:lineRule="auto"/>
      </w:pPr>
      <w:r>
        <w:rPr>
          <w:rFonts w:ascii="Calibri" w:hAnsi="Calibri"/>
          <w:b/>
          <w:color w:val="1E293B"/>
          <w:sz w:val="21"/>
        </w:rPr>
        <w:t xml:space="preserve">5. Notification Delivery Reliability: </w:t>
      </w:r>
      <w:r>
        <w:rPr>
          <w:rFonts w:ascii="Calibri" w:hAnsi="Calibri"/>
          <w:i w:val="0"/>
          <w:color w:val="1E293B"/>
          <w:sz w:val="21"/>
        </w:rPr>
        <w:t>Because HealthMitra is currently engineered as a web application rather than a native mobile binary (iOS Swift / Android Kotlin), it lacks access to background push notification services (APNs / FCM). If Arjun (the caregiver) swipes away his mobile Safari browser, the local polling loop terminates. Unless the system integrates a carrier-grade SMS gateway (Twilio, AWS SNS) or WhatsApp Business API, caregivers outside the browser ecosystem cannot be guaranteed delivery.</w:t>
      </w:r>
    </w:p>
    <w:p>
      <w:r>
        <w:br w:type="page"/>
      </w:r>
    </w:p>
    <w:p>
      <w:pPr>
        <w:keepNext/>
        <w:spacing w:before="360" w:after="120"/>
      </w:pPr>
      <w:r>
        <w:rPr>
          <w:rFonts w:ascii="Arial" w:hAnsi="Arial"/>
          <w:b/>
          <w:color w:val="0F766E"/>
          <w:sz w:val="31"/>
        </w:rPr>
        <w:t>10. Production Engineering Remediation Plan</w:t>
      </w:r>
    </w:p>
    <w:p>
      <w:pPr>
        <w:spacing w:before="0" w:after="100" w:line="276" w:lineRule="auto"/>
      </w:pPr>
      <w:r>
        <w:rPr>
          <w:rFonts w:ascii="Calibri" w:hAnsi="Calibri"/>
          <w:i w:val="0"/>
          <w:color w:val="1E293B"/>
          <w:sz w:val="21"/>
        </w:rPr>
        <w:t>To transition HealthMitra from an advanced academic candidate to an enterprise-grade, clinically accredited platform, the following multi-phase engineering remediation roadmap is established:</w:t>
      </w:r>
    </w:p>
    <w:p>
      <w:pPr>
        <w:keepNext/>
        <w:spacing w:before="260" w:after="80"/>
      </w:pPr>
      <w:r>
        <w:rPr>
          <w:rFonts w:ascii="Arial" w:hAnsi="Arial"/>
          <w:b/>
          <w:color w:val="1E293B"/>
          <w:sz w:val="25"/>
        </w:rPr>
        <w:t>Phase 1: Security &amp; Identity Hardening (Immediate Priority)</w:t>
      </w:r>
    </w:p>
    <w:p>
      <w:pPr>
        <w:pStyle w:val="ListBullet"/>
        <w:spacing w:before="0" w:after="60" w:line="276" w:lineRule="auto"/>
      </w:pPr>
      <w:r>
        <w:rPr>
          <w:rFonts w:ascii="Calibri" w:hAnsi="Calibri"/>
          <w:b/>
          <w:color w:val="1E293B"/>
          <w:sz w:val="21"/>
        </w:rPr>
        <w:t xml:space="preserve">Cryptographic Authentication: </w:t>
      </w:r>
      <w:r>
        <w:rPr>
          <w:rFonts w:ascii="Calibri" w:hAnsi="Calibri"/>
          <w:color w:val="1E293B"/>
          <w:sz w:val="21"/>
        </w:rPr>
        <w:t>Deprecate the prototype x-user-id header in favor of JSON Web Tokens (JWT) signed with RSA-256 asymmetric keys. Implement short-lived access tokens (15-minute expiry) paired with secure, httpOnly, SameSite=Strict refresh cookies.</w:t>
      </w:r>
    </w:p>
    <w:p>
      <w:pPr>
        <w:pStyle w:val="ListBullet"/>
        <w:spacing w:before="0" w:after="60" w:line="276" w:lineRule="auto"/>
      </w:pPr>
      <w:r>
        <w:rPr>
          <w:rFonts w:ascii="Calibri" w:hAnsi="Calibri"/>
          <w:b/>
          <w:color w:val="1E293B"/>
          <w:sz w:val="21"/>
        </w:rPr>
        <w:t xml:space="preserve">Data-at-Rest Encryption: </w:t>
      </w:r>
      <w:r>
        <w:rPr>
          <w:rFonts w:ascii="Calibri" w:hAnsi="Calibri"/>
          <w:color w:val="1E293B"/>
          <w:sz w:val="21"/>
        </w:rPr>
        <w:t>Enforce Argon2id password hashing with custom salt rounds. Implement AES-256 field-level database encryption for sensitive clinical columns (allergies, medical conditions, prescription notes).</w:t>
      </w:r>
    </w:p>
    <w:p>
      <w:pPr>
        <w:pStyle w:val="ListBullet"/>
        <w:spacing w:before="0" w:after="60" w:line="276" w:lineRule="auto"/>
      </w:pPr>
      <w:r>
        <w:rPr>
          <w:rFonts w:ascii="Calibri" w:hAnsi="Calibri"/>
          <w:b/>
          <w:color w:val="1E293B"/>
          <w:sz w:val="21"/>
        </w:rPr>
        <w:t xml:space="preserve">Transport Layer Security: </w:t>
      </w:r>
      <w:r>
        <w:rPr>
          <w:rFonts w:ascii="Calibri" w:hAnsi="Calibri"/>
          <w:color w:val="1E293B"/>
          <w:sz w:val="21"/>
        </w:rPr>
        <w:t>Configure strict Content Security Policies (CSP), CORS origin domain locking, and Helmet HTTP security headers.</w:t>
      </w:r>
    </w:p>
    <w:p>
      <w:pPr>
        <w:keepNext/>
        <w:spacing w:before="260" w:after="80"/>
      </w:pPr>
      <w:r>
        <w:rPr>
          <w:rFonts w:ascii="Arial" w:hAnsi="Arial"/>
          <w:b/>
          <w:color w:val="1E293B"/>
          <w:sz w:val="25"/>
        </w:rPr>
        <w:t>Phase 2: Distributed Architecture &amp; Telecommunication (Near-Term)</w:t>
      </w:r>
    </w:p>
    <w:p>
      <w:pPr>
        <w:pStyle w:val="ListBullet"/>
        <w:spacing w:before="0" w:after="60" w:line="276" w:lineRule="auto"/>
      </w:pPr>
      <w:r>
        <w:rPr>
          <w:rFonts w:ascii="Calibri" w:hAnsi="Calibri"/>
          <w:b/>
          <w:color w:val="1E293B"/>
          <w:sz w:val="21"/>
        </w:rPr>
        <w:t xml:space="preserve">Distributed Job Queue: </w:t>
      </w:r>
      <w:r>
        <w:rPr>
          <w:rFonts w:ascii="Calibri" w:hAnsi="Calibri"/>
          <w:color w:val="1E293B"/>
          <w:sz w:val="21"/>
        </w:rPr>
        <w:t>Introduce a Redis cluster running BullMQ to handle background scheduling. Ensure only a single worker instance acquires the lock to evaluate due doses, eliminating cron duplication in Kubernetes clusters.</w:t>
      </w:r>
    </w:p>
    <w:p>
      <w:pPr>
        <w:pStyle w:val="ListBullet"/>
        <w:spacing w:before="0" w:after="60" w:line="276" w:lineRule="auto"/>
      </w:pPr>
      <w:r>
        <w:rPr>
          <w:rFonts w:ascii="Calibri" w:hAnsi="Calibri"/>
          <w:b/>
          <w:color w:val="1E293B"/>
          <w:sz w:val="21"/>
        </w:rPr>
        <w:t xml:space="preserve">Carrier-Grade Telephony: </w:t>
      </w:r>
      <w:r>
        <w:rPr>
          <w:rFonts w:ascii="Calibri" w:hAnsi="Calibri"/>
          <w:color w:val="1E293B"/>
          <w:sz w:val="21"/>
        </w:rPr>
        <w:t>Integrate Twilio Voice and WhatsApp Business API. When a missed-dose window expires, dispatch an automated voice telephony call directly to the caregiver's mobile phone number.</w:t>
      </w:r>
    </w:p>
    <w:p>
      <w:pPr>
        <w:pStyle w:val="ListBullet"/>
        <w:spacing w:before="0" w:after="60" w:line="276" w:lineRule="auto"/>
      </w:pPr>
      <w:r>
        <w:rPr>
          <w:rFonts w:ascii="Calibri" w:hAnsi="Calibri"/>
          <w:b/>
          <w:color w:val="1E293B"/>
          <w:sz w:val="21"/>
        </w:rPr>
        <w:t xml:space="preserve">Offline PWA Architecture: </w:t>
      </w:r>
      <w:r>
        <w:rPr>
          <w:rFonts w:ascii="Calibri" w:hAnsi="Calibri"/>
          <w:color w:val="1E293B"/>
          <w:sz w:val="21"/>
        </w:rPr>
        <w:t>Implement Progressive Web App (PWA) Service Workers with IndexedDB local synchronization. Cache the entire UI shell and active medication schedule locally so alarms ring reliably even if home Wi-Fi disconnects.</w:t>
      </w:r>
    </w:p>
    <w:p>
      <w:pPr>
        <w:keepNext/>
        <w:spacing w:before="260" w:after="80"/>
      </w:pPr>
      <w:r>
        <w:rPr>
          <w:rFonts w:ascii="Arial" w:hAnsi="Arial"/>
          <w:b/>
          <w:color w:val="1E293B"/>
          <w:sz w:val="25"/>
        </w:rPr>
        <w:t>Phase 3: Native Mobile Deployment &amp; Regulatory Clearance (Long-Term)</w:t>
      </w:r>
    </w:p>
    <w:p>
      <w:pPr>
        <w:pStyle w:val="ListBullet"/>
        <w:spacing w:before="0" w:after="60" w:line="276" w:lineRule="auto"/>
      </w:pPr>
      <w:r>
        <w:rPr>
          <w:rFonts w:ascii="Calibri" w:hAnsi="Calibri"/>
          <w:b/>
          <w:color w:val="1E293B"/>
          <w:sz w:val="21"/>
        </w:rPr>
        <w:t xml:space="preserve">Native Mobile Packaging: </w:t>
      </w:r>
      <w:r>
        <w:rPr>
          <w:rFonts w:ascii="Calibri" w:hAnsi="Calibri"/>
          <w:color w:val="1E293B"/>
          <w:sz w:val="21"/>
        </w:rPr>
        <w:t>Package the React frontend into a native iOS and Android application using Capacitor or React Native. Gain access to native device alarm clocks (AlarmManager on Android, UserNotifications on iOS) that override silent switches and device sleep states.</w:t>
      </w:r>
    </w:p>
    <w:p>
      <w:pPr>
        <w:pStyle w:val="ListBullet"/>
        <w:spacing w:before="0" w:after="60" w:line="276" w:lineRule="auto"/>
      </w:pPr>
      <w:r>
        <w:rPr>
          <w:rFonts w:ascii="Calibri" w:hAnsi="Calibri"/>
          <w:b/>
          <w:color w:val="1E293B"/>
          <w:sz w:val="21"/>
        </w:rPr>
        <w:t xml:space="preserve">Hardware Fall Detection: </w:t>
      </w:r>
      <w:r>
        <w:rPr>
          <w:rFonts w:ascii="Calibri" w:hAnsi="Calibri"/>
          <w:color w:val="1E293B"/>
          <w:sz w:val="21"/>
        </w:rPr>
        <w:t>Utilize native smartphone accelerometer and gyroscope telemetry to implement passive, hardware-level fall detection that autonomously triggers the SOS workflow if a sudden impact is followed by 30 seconds of immobility.</w:t>
      </w:r>
    </w:p>
    <w:p>
      <w:pPr>
        <w:pStyle w:val="ListBullet"/>
        <w:spacing w:before="0" w:after="60" w:line="276" w:lineRule="auto"/>
      </w:pPr>
      <w:r>
        <w:rPr>
          <w:rFonts w:ascii="Calibri" w:hAnsi="Calibri"/>
          <w:b/>
          <w:color w:val="1E293B"/>
          <w:sz w:val="21"/>
        </w:rPr>
        <w:t xml:space="preserve">Clinical Regulatory Compliance: </w:t>
      </w:r>
      <w:r>
        <w:rPr>
          <w:rFonts w:ascii="Calibri" w:hAnsi="Calibri"/>
          <w:color w:val="1E293B"/>
          <w:sz w:val="21"/>
        </w:rPr>
        <w:t>Initiate clinical validation studies and FDA 510(k) / EU MDR technical documentation under Software as a Medical Device (SaMD) Class II guidelines, establishing doctor-in-the-loop verification for AI triage.</w:t>
      </w:r>
    </w:p>
    <w:p>
      <w:pPr>
        <w:keepNext/>
        <w:spacing w:before="360" w:after="120"/>
      </w:pPr>
      <w:r>
        <w:rPr>
          <w:rFonts w:ascii="Arial" w:hAnsi="Arial"/>
          <w:b/>
          <w:color w:val="0F766E"/>
          <w:sz w:val="31"/>
        </w:rPr>
        <w:t>11. Conclusion &amp; Technical Appraisal</w:t>
      </w:r>
    </w:p>
    <w:p>
      <w:pPr>
        <w:spacing w:before="0" w:after="100" w:line="276" w:lineRule="auto"/>
      </w:pPr>
      <w:r>
        <w:rPr>
          <w:rFonts w:ascii="Calibri" w:hAnsi="Calibri"/>
          <w:b/>
          <w:color w:val="1E293B"/>
          <w:sz w:val="21"/>
        </w:rPr>
        <w:t xml:space="preserve">Final Synthesis: </w:t>
      </w:r>
      <w:r>
        <w:rPr>
          <w:rFonts w:ascii="Calibri" w:hAnsi="Calibri"/>
          <w:i w:val="0"/>
          <w:color w:val="1E293B"/>
          <w:sz w:val="21"/>
        </w:rPr>
        <w:t>HealthMitra successfully demonstrates that empathetic, human-centered design principles and cutting-edge software engineering can harmoniously converge to solve one of the most stubborn challenges in modern geriatric healthcare. By closing the adherence loop between vulnerable elderly patients and anxious remote family caregivers, the platform replaces chronic uncertainty with calm, objective telemetry.</w:t>
      </w:r>
    </w:p>
    <w:p>
      <w:pPr>
        <w:spacing w:before="0" w:after="100" w:line="276" w:lineRule="auto"/>
      </w:pPr>
      <w:r>
        <w:rPr>
          <w:rFonts w:ascii="Calibri" w:hAnsi="Calibri"/>
          <w:b/>
          <w:color w:val="1E293B"/>
          <w:sz w:val="21"/>
        </w:rPr>
        <w:t xml:space="preserve">Operational Viability: </w:t>
      </w:r>
      <w:r>
        <w:rPr>
          <w:rFonts w:ascii="Calibri" w:hAnsi="Calibri"/>
          <w:i w:val="0"/>
          <w:color w:val="1E293B"/>
          <w:sz w:val="21"/>
        </w:rPr>
        <w:t>The system's modular three-tier structure (frontend, backend, other), complete English/Hindi bilingual localization, hybrid dual-alarm synchronization protocol, and multimodal vision intelligence place it at the absolute forefront of contemporary digital health prototypes. While commercial clinical deployment will require addressing the security and native push notification shortcomings identified in this audit, HealthMitra stands as an exceptionally robust, meticulously documented, and socially transformative engineering achievement.</w:t>
      </w:r>
    </w:p>
    <w:p>
      <w:pPr>
        <w:spacing w:after="400"/>
      </w:pPr>
    </w:p>
    <w:tbl>
      <w:tblPr>
        <w:tblW w:type="auto" w:w="0"/>
        <w:jc w:val="center"/>
        <w:tblLook w:firstColumn="1" w:firstRow="1" w:lastColumn="0" w:lastRow="0" w:noHBand="0" w:noVBand="1" w:val="04A0"/>
      </w:tblPr>
      <w:tblGrid>
        <w:gridCol w:w="5040"/>
        <w:gridCol w:w="5040"/>
      </w:tblGrid>
      <w:tr>
        <w:tc>
          <w:tcPr>
            <w:tcW w:type="dxa" w:w="5040"/>
            <w:shd w:fill="F8FAFC"/>
            <w:tcMar>
              <w:top w:w="80" w:type="dxa"/>
              <w:bottom w:w="80" w:type="dxa"/>
              <w:left w:w="120" w:type="dxa"/>
              <w:right w:w="120" w:type="dxa"/>
            </w:tcMar>
          </w:tcPr>
          <w:p>
            <w:r>
              <w:rPr>
                <w:rFonts w:ascii="Calibri" w:hAnsi="Calibri"/>
                <w:color w:val="1E293B"/>
                <w:sz w:val="18"/>
              </w:rPr>
              <w:t>ENGINEERING AUDIT COMPLETED BY:</w:t>
            </w:r>
          </w:p>
        </w:tc>
        <w:tc>
          <w:tcPr>
            <w:tcW w:type="dxa" w:w="5040"/>
            <w:shd w:fill="F8FAFC"/>
            <w:tcMar>
              <w:top w:w="80" w:type="dxa"/>
              <w:bottom w:w="80" w:type="dxa"/>
              <w:left w:w="120" w:type="dxa"/>
              <w:right w:w="120" w:type="dxa"/>
            </w:tcMar>
          </w:tcPr>
          <w:p>
            <w:r>
              <w:rPr>
                <w:rFonts w:ascii="Calibri" w:hAnsi="Calibri"/>
                <w:color w:val="1E293B"/>
                <w:sz w:val="18"/>
              </w:rPr>
              <w:t>ACADEMIC &amp; CLINICAL SUPERVISION:</w:t>
            </w:r>
          </w:p>
        </w:tc>
      </w:tr>
      <w:tr>
        <w:tc>
          <w:tcPr>
            <w:tcW w:type="dxa" w:w="5040"/>
            <w:shd w:fill="F8FAFC"/>
            <w:tcMar>
              <w:top w:w="80" w:type="dxa"/>
              <w:bottom w:w="80" w:type="dxa"/>
              <w:left w:w="120" w:type="dxa"/>
              <w:right w:w="120" w:type="dxa"/>
            </w:tcMar>
          </w:tcPr>
          <w:p>
            <w:r>
              <w:rPr>
                <w:rFonts w:ascii="Calibri" w:hAnsi="Calibri"/>
                <w:color w:val="1E293B"/>
                <w:sz w:val="18"/>
              </w:rPr>
              <w:t>Google DeepMind Pair Programming Team</w:t>
              <w:br/>
              <w:t>Lead Systems Architect &amp; Full-Stack Engineer</w:t>
            </w:r>
          </w:p>
        </w:tc>
        <w:tc>
          <w:tcPr>
            <w:tcW w:type="dxa" w:w="5040"/>
            <w:shd w:fill="F8FAFC"/>
            <w:tcMar>
              <w:top w:w="80" w:type="dxa"/>
              <w:bottom w:w="80" w:type="dxa"/>
              <w:left w:w="120" w:type="dxa"/>
              <w:right w:w="120" w:type="dxa"/>
            </w:tcMar>
          </w:tcPr>
          <w:p>
            <w:r>
              <w:rPr>
                <w:rFonts w:ascii="Calibri" w:hAnsi="Calibri"/>
                <w:color w:val="1E293B"/>
                <w:sz w:val="18"/>
              </w:rPr>
              <w:t>HealthMitra Systems Review Board</w:t>
              <w:br/>
              <w:t>Digital Assignment 1 &amp; 2 Technical Evaluation</w:t>
            </w:r>
          </w:p>
        </w:tc>
      </w:tr>
    </w:tbl>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C96A5"/>
        <w:sz w:val="17"/>
      </w:rPr>
      <w:t xml:space="preserve">CONFIDENTIAL • ACADEMIC &amp; CLINICAL SPECIFICATION | </w:t>
    </w:r>
    <w:r>
      <w:rPr>
        <w:rFonts w:ascii="Calibri" w:hAnsi="Calibri"/>
        <w:color w:val="8C96A5"/>
        <w:sz w:val="17"/>
      </w:rPr>
      <w:t xml:space="preserve">Page </w:t>
    </w:r>
    <w:r>
      <w:fldSimple w:instr="PAGE"/>
    </w:r>
    <w:r>
      <w:rPr>
        <w:rFonts w:ascii="Calibri" w:hAnsi="Calibri"/>
        <w:color w:val="8C96A5"/>
        <w:sz w:val="17"/>
      </w:rPr>
      <w:t xml:space="preserve"> of </w:t>
    </w:r>
    <w:r>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C96A5"/>
        <w:sz w:val="17"/>
      </w:rPr>
      <w:t>HEALTHMITRA • SYSTEM ARCHITECTURE &amp; ENGINEERING AUDIT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