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8"/>
          <w:sz w:val="44"/>
          <w:szCs w:val="44"/>
        </w:rPr>
        <w:t xml:space="preserve">Business Expansion &amp;</w:t>
      </w:r>
    </w:p>
    <w:p>
      <w:pPr>
        <w:spacing w:after="240"/>
        <w:jc w:val="center"/>
      </w:pPr>
      <w:r>
        <w:rPr>
          <w:b/>
          <w:bCs/>
          <w:color w:val="1F4E78"/>
          <w:sz w:val="44"/>
          <w:szCs w:val="44"/>
        </w:rPr>
        <w:t xml:space="preserve">Market Opportunity Dashboard</w:t>
      </w:r>
    </w:p>
    <w:p>
      <w:pPr>
        <w:spacing w:after="80"/>
        <w:jc w:val="center"/>
      </w:pPr>
      <w:r>
        <w:rPr>
          <w:i/>
          <w:iCs/>
          <w:color w:val="595959"/>
          <w:sz w:val="26"/>
          <w:szCs w:val="26"/>
        </w:rPr>
        <w:t xml:space="preserve">Strategic Market Analysis Report</w:t>
      </w:r>
    </w:p>
    <w:p>
      <w:pPr>
        <w:spacing w:after="1200"/>
        <w:jc w:val="center"/>
      </w:pPr>
      <w:r>
        <w:rPr>
          <w:color w:val="595959"/>
          <w:sz w:val="22"/>
          <w:szCs w:val="22"/>
        </w:rPr>
        <w:t xml:space="preserve">SQL  |  Microsoft Excel  |  Power BI  |  DAX</w:t>
      </w:r>
    </w:p>
    <w:p>
      <w:pPr>
        <w:jc w:val="center"/>
      </w:pPr>
      <w:r>
        <w:rPr>
          <w:color w:val="595959"/>
          <w:sz w:val="20"/>
          <w:szCs w:val="20"/>
        </w:rPr>
        <w:t xml:space="preserve">Prepared as a portfolio analytics project</w:t>
      </w:r>
    </w:p>
    <w:p>
      <w:r>
        <w:br w:type="page"/>
      </w:r>
    </w:p>
    <w:p>
      <w:pPr>
        <w:pStyle w:val="Heading1"/>
        <w:spacing w:after="160" w:before="320"/>
      </w:pPr>
      <w:r>
        <w:t xml:space="preserve">1. Executive Summary</w:t>
      </w:r>
    </w:p>
    <w:p>
      <w:pPr>
        <w:spacing w:after="160"/>
      </w:pPr>
      <w:r>
        <w:t xml:space="preserve">This project builds a decision-support analytics solution that helps a growing company identify which Indian city it should expand into next. Rather than reporting on markets the company already operates in, the analysis scores 46 candidate cities across five dimensions — customer demand, market growth, revenue potential, competitive intensity, and operating cost — and combines them into a single, transparent Market Opportunity Score.</w:t>
      </w:r>
    </w:p>
    <w:p>
      <w:pPr>
        <w:spacing w:after="160"/>
      </w:pPr>
      <w:r>
        <w:t xml:space="preserve">The analysis is built three times, in three tools, on the same underlying data and the same scoring logic, so the results agree end to end: SQL (MySQL) for the analytical queries and data cleaning, Microsoft Excel for a formula-driven working model, and Power BI for the final interactive dashboard with a live What-If Expansion Strategy Simulator.</w:t>
      </w:r>
    </w:p>
    <w:p>
      <w:pPr>
        <w:spacing w:after="160"/>
      </w:pPr>
      <w:r>
        <w:t xml:space="preserve">Across the current dataset, Hyderabad and Surat surface as the two “Recommended” markets under the balanced (default) weighting — strong demand and revenue potential combined with manageable risk. Several other Tier-1 metros (Delhi, Chennai, Bengaluru, Mumbai) score well on opportunity but carry higher risk from cost and competition, while a handful of Tier-2 cities (Visakhapatnam, Thiruvananthapuram) stand out as lower-risk “hidden gem” options with strong demand relative to how competitive they are.</w:t>
      </w:r>
    </w:p>
    <w:p>
      <w:pPr>
        <w:pStyle w:val="Heading1"/>
        <w:spacing w:after="160" w:before="320"/>
      </w:pPr>
      <w:r>
        <w:t xml:space="preserve">2. Business Problem</w:t>
      </w:r>
    </w:p>
    <w:p>
      <w:pPr>
        <w:spacing w:after="160"/>
      </w:pPr>
      <w:r>
        <w:t xml:space="preserve">A growing company currently operates in several Indian markets and is planning further expansion. Management has limited capital and cannot enter every market at once, and currently has no consolidated way to compare candidate cities on demand, growth, revenue potential, profitability, competition, operating cost, customer potential, and risk — each of these lives in a different spreadsheet or report.</w:t>
      </w:r>
    </w:p>
    <w:p>
      <w:pPr>
        <w:spacing w:after="160"/>
      </w:pPr>
      <w:r>
        <w:t xml:space="preserve">This project answers four questions directly:</w:t>
      </w:r>
    </w:p>
    <w:p>
      <w:pPr>
        <w:pStyle w:val="ListParagraph"/>
        <w:numPr>
          <w:ilvl w:val="0"/>
          <w:numId w:val="1"/>
        </w:numPr>
        <w:spacing w:after="80"/>
      </w:pPr>
      <w:r>
        <w:t xml:space="preserve">Where should the company expand?</w:t>
      </w:r>
    </w:p>
    <w:p>
      <w:pPr>
        <w:pStyle w:val="ListParagraph"/>
        <w:numPr>
          <w:ilvl w:val="0"/>
          <w:numId w:val="1"/>
        </w:numPr>
        <w:spacing w:after="80"/>
      </w:pPr>
      <w:r>
        <w:t xml:space="preserve">Why is that market attractive?</w:t>
      </w:r>
    </w:p>
    <w:p>
      <w:pPr>
        <w:pStyle w:val="ListParagraph"/>
        <w:numPr>
          <w:ilvl w:val="0"/>
          <w:numId w:val="1"/>
        </w:numPr>
        <w:spacing w:after="80"/>
      </w:pPr>
      <w:r>
        <w:t xml:space="preserve">What are the risks?</w:t>
      </w:r>
    </w:p>
    <w:p>
      <w:pPr>
        <w:pStyle w:val="ListParagraph"/>
        <w:numPr>
          <w:ilvl w:val="0"/>
          <w:numId w:val="1"/>
        </w:numPr>
        <w:spacing w:after="80"/>
      </w:pPr>
      <w:r>
        <w:t xml:space="preserve">How would the recommendation change if management's priorities changed?</w:t>
      </w:r>
    </w:p>
    <w:p>
      <w:pPr>
        <w:pStyle w:val="Heading1"/>
        <w:spacing w:after="160" w:before="320"/>
      </w:pPr>
      <w:r>
        <w:t xml:space="preserve">3. Objectives</w:t>
      </w:r>
    </w:p>
    <w:p>
      <w:pPr>
        <w:pStyle w:val="ListParagraph"/>
        <w:numPr>
          <w:ilvl w:val="0"/>
          <w:numId w:val="1"/>
        </w:numPr>
        <w:spacing w:after="80"/>
      </w:pPr>
      <w:r>
        <w:t xml:space="preserve">Analyze market performance and customer demand across 46 Indian cities (Tier 1 and Tier 2).</w:t>
      </w:r>
    </w:p>
    <w:p>
      <w:pPr>
        <w:pStyle w:val="ListParagraph"/>
        <w:numPr>
          <w:ilvl w:val="0"/>
          <w:numId w:val="1"/>
        </w:numPr>
        <w:spacing w:after="80"/>
      </w:pPr>
      <w:r>
        <w:t xml:space="preserve">Compare market growth rates and historical sales/profitability, 2023–2025.</w:t>
      </w:r>
    </w:p>
    <w:p>
      <w:pPr>
        <w:pStyle w:val="ListParagraph"/>
        <w:numPr>
          <w:ilvl w:val="0"/>
          <w:numId w:val="1"/>
        </w:numPr>
        <w:spacing w:after="80"/>
      </w:pPr>
      <w:r>
        <w:t xml:space="preserve">Measure competitor presence and operating/expansion costs per market.</w:t>
      </w:r>
    </w:p>
    <w:p>
      <w:pPr>
        <w:pStyle w:val="ListParagraph"/>
        <w:numPr>
          <w:ilvl w:val="0"/>
          <w:numId w:val="1"/>
        </w:numPr>
        <w:spacing w:after="80"/>
      </w:pPr>
      <w:r>
        <w:t xml:space="preserve">Calculate a Market Opportunity Score and rank cities by expansion attractiveness.</w:t>
      </w:r>
    </w:p>
    <w:p>
      <w:pPr>
        <w:pStyle w:val="ListParagraph"/>
        <w:numPr>
          <w:ilvl w:val="0"/>
          <w:numId w:val="1"/>
        </w:numPr>
        <w:spacing w:after="80"/>
      </w:pPr>
      <w:r>
        <w:t xml:space="preserve">Classify markets by risk and combine opportunity + risk into a single recommendation.</w:t>
      </w:r>
    </w:p>
    <w:p>
      <w:pPr>
        <w:pStyle w:val="ListParagraph"/>
        <w:numPr>
          <w:ilvl w:val="0"/>
          <w:numId w:val="1"/>
        </w:numPr>
        <w:spacing w:after="80"/>
      </w:pPr>
      <w:r>
        <w:t xml:space="preserve">Identify high-demand/low-competition markets and high-growth emerging (Tier-2) markets.</w:t>
      </w:r>
    </w:p>
    <w:p>
      <w:pPr>
        <w:pStyle w:val="ListParagraph"/>
        <w:numPr>
          <w:ilvl w:val="0"/>
          <w:numId w:val="1"/>
        </w:numPr>
        <w:spacing w:after="80"/>
      </w:pPr>
      <w:r>
        <w:t xml:space="preserve">Build an interactive What-If Expansion Strategy Simulator for management.</w:t>
      </w:r>
    </w:p>
    <w:p>
      <w:pPr>
        <w:pStyle w:val="Heading1"/>
        <w:spacing w:after="160" w:before="320"/>
      </w:pPr>
      <w:r>
        <w:t xml:space="preserve">4. Dataset Description</w:t>
      </w:r>
    </w:p>
    <w:p>
      <w:pPr>
        <w:spacing w:after="160"/>
      </w:pPr>
      <w:r>
        <w:t xml:space="preserve">Five related CSV datasets cover January 2023 – December 2025 across 46 Indian cities (a mix of Tier-1 metros and fast-growing Tier-2 cities), connected through a common Market_ID.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800"/>
      </w:tblGrid>
      <w:tr>
        <w:tc>
          <w:tcPr>
            <w:tcW w:type="dxa" w:w="2400"/>
            <w:shd w:fill="1F4E78" w:val="clear"/>
          </w:tcPr>
          <w:p>
            <w:r>
              <w:rPr>
                <w:b/>
                <w:bCs/>
                <w:color w:val="FFFFFF"/>
                <w:sz w:val="18"/>
                <w:szCs w:val="18"/>
              </w:rPr>
              <w:t xml:space="preserve">Dataset</w:t>
            </w:r>
          </w:p>
        </w:tc>
        <w:tc>
          <w:tcPr>
            <w:tcW w:type="dxa" w:w="2400"/>
            <w:shd w:fill="1F4E78" w:val="clear"/>
          </w:tcPr>
          <w:p>
            <w:r>
              <w:rPr>
                <w:b/>
                <w:bCs/>
                <w:color w:val="FFFFFF"/>
                <w:sz w:val="18"/>
                <w:szCs w:val="18"/>
              </w:rPr>
              <w:t xml:space="preserve">Grain</w:t>
            </w:r>
          </w:p>
        </w:tc>
        <w:tc>
          <w:tcPr>
            <w:tcW w:type="dxa" w:w="1400"/>
            <w:shd w:fill="1F4E78" w:val="clear"/>
          </w:tcPr>
          <w:p>
            <w:r>
              <w:rPr>
                <w:b/>
                <w:bCs/>
                <w:color w:val="FFFFFF"/>
                <w:sz w:val="18"/>
                <w:szCs w:val="18"/>
              </w:rPr>
              <w:t xml:space="preserve">Rows</w:t>
            </w:r>
          </w:p>
        </w:tc>
        <w:tc>
          <w:tcPr>
            <w:tcW w:type="dxa" w:w="2800"/>
            <w:shd w:fill="1F4E78" w:val="clear"/>
          </w:tcPr>
          <w:p>
            <w:r>
              <w:rPr>
                <w:b/>
                <w:bCs/>
                <w:color w:val="FFFFFF"/>
                <w:sz w:val="18"/>
                <w:szCs w:val="18"/>
              </w:rPr>
              <w:t xml:space="preserve">Key columns</w:t>
            </w:r>
          </w:p>
        </w:tc>
      </w:tr>
      <w:tr>
        <w:tc>
          <w:tcPr>
            <w:tcW w:type="dxa" w:w="2400"/>
          </w:tcPr>
          <w:p>
            <w:r>
              <w:rPr>
                <w:b w:val="false"/>
                <w:bCs w:val="false"/>
                <w:sz w:val="18"/>
                <w:szCs w:val="18"/>
              </w:rPr>
              <w:t xml:space="preserve">markets.csv</w:t>
            </w:r>
          </w:p>
        </w:tc>
        <w:tc>
          <w:tcPr>
            <w:tcW w:type="dxa" w:w="2400"/>
          </w:tcPr>
          <w:p>
            <w:r>
              <w:rPr>
                <w:b w:val="false"/>
                <w:bCs w:val="false"/>
                <w:sz w:val="18"/>
                <w:szCs w:val="18"/>
              </w:rPr>
              <w:t xml:space="preserve">One row per city</w:t>
            </w:r>
          </w:p>
        </w:tc>
        <w:tc>
          <w:tcPr>
            <w:tcW w:type="dxa" w:w="1400"/>
          </w:tcPr>
          <w:p>
            <w:r>
              <w:rPr>
                <w:b w:val="false"/>
                <w:bCs w:val="false"/>
                <w:sz w:val="18"/>
                <w:szCs w:val="18"/>
              </w:rPr>
              <w:t xml:space="preserve">47*</w:t>
            </w:r>
          </w:p>
        </w:tc>
        <w:tc>
          <w:tcPr>
            <w:tcW w:type="dxa" w:w="2800"/>
          </w:tcPr>
          <w:p>
            <w:r>
              <w:rPr>
                <w:b w:val="false"/>
                <w:bCs w:val="false"/>
                <w:sz w:val="18"/>
                <w:szCs w:val="18"/>
              </w:rPr>
              <w:t xml:space="preserve">Population, Target Customers, Income, Growth Rate, Demand/Digital/Infra Scores</w:t>
            </w:r>
          </w:p>
        </w:tc>
      </w:tr>
      <w:tr>
        <w:tc>
          <w:tcPr>
            <w:tcW w:type="dxa" w:w="2400"/>
          </w:tcPr>
          <w:p>
            <w:r>
              <w:rPr>
                <w:b w:val="false"/>
                <w:bCs w:val="false"/>
                <w:sz w:val="18"/>
                <w:szCs w:val="18"/>
              </w:rPr>
              <w:t xml:space="preserve">sales.csv</w:t>
            </w:r>
          </w:p>
        </w:tc>
        <w:tc>
          <w:tcPr>
            <w:tcW w:type="dxa" w:w="2400"/>
          </w:tcPr>
          <w:p>
            <w:r>
              <w:rPr>
                <w:b w:val="false"/>
                <w:bCs w:val="false"/>
                <w:sz w:val="18"/>
                <w:szCs w:val="18"/>
              </w:rPr>
              <w:t xml:space="preserve">Market × month × category</w:t>
            </w:r>
          </w:p>
        </w:tc>
        <w:tc>
          <w:tcPr>
            <w:tcW w:type="dxa" w:w="1400"/>
          </w:tcPr>
          <w:p>
            <w:r>
              <w:rPr>
                <w:b w:val="false"/>
                <w:bCs w:val="false"/>
                <w:sz w:val="18"/>
                <w:szCs w:val="18"/>
              </w:rPr>
              <w:t xml:space="preserve">9,938*</w:t>
            </w:r>
          </w:p>
        </w:tc>
        <w:tc>
          <w:tcPr>
            <w:tcW w:type="dxa" w:w="2800"/>
          </w:tcPr>
          <w:p>
            <w:r>
              <w:rPr>
                <w:b w:val="false"/>
                <w:bCs w:val="false"/>
                <w:sz w:val="18"/>
                <w:szCs w:val="18"/>
              </w:rPr>
              <w:t xml:space="preserve">Orders, Customers, Revenue, Cost, Profit, Discount</w:t>
            </w:r>
          </w:p>
        </w:tc>
      </w:tr>
      <w:tr>
        <w:tc>
          <w:tcPr>
            <w:tcW w:type="dxa" w:w="2400"/>
          </w:tcPr>
          <w:p>
            <w:r>
              <w:rPr>
                <w:b w:val="false"/>
                <w:bCs w:val="false"/>
                <w:sz w:val="18"/>
                <w:szCs w:val="18"/>
              </w:rPr>
              <w:t xml:space="preserve">competitors.csv</w:t>
            </w:r>
          </w:p>
        </w:tc>
        <w:tc>
          <w:tcPr>
            <w:tcW w:type="dxa" w:w="2400"/>
          </w:tcPr>
          <w:p>
            <w:r>
              <w:rPr>
                <w:b w:val="false"/>
                <w:bCs w:val="false"/>
                <w:sz w:val="18"/>
                <w:szCs w:val="18"/>
              </w:rPr>
              <w:t xml:space="preserve">One row per competitor</w:t>
            </w:r>
          </w:p>
        </w:tc>
        <w:tc>
          <w:tcPr>
            <w:tcW w:type="dxa" w:w="1400"/>
          </w:tcPr>
          <w:p>
            <w:r>
              <w:rPr>
                <w:b w:val="false"/>
                <w:bCs w:val="false"/>
                <w:sz w:val="18"/>
                <w:szCs w:val="18"/>
              </w:rPr>
              <w:t xml:space="preserve">161*</w:t>
            </w:r>
          </w:p>
        </w:tc>
        <w:tc>
          <w:tcPr>
            <w:tcW w:type="dxa" w:w="2800"/>
          </w:tcPr>
          <w:p>
            <w:r>
              <w:rPr>
                <w:b w:val="false"/>
                <w:bCs w:val="false"/>
                <w:sz w:val="18"/>
                <w:szCs w:val="18"/>
              </w:rPr>
              <w:t xml:space="preserve">Market Share, Locations, Price Level, Brand Strength, Competition Score</w:t>
            </w:r>
          </w:p>
        </w:tc>
      </w:tr>
      <w:tr>
        <w:tc>
          <w:tcPr>
            <w:tcW w:type="dxa" w:w="2400"/>
          </w:tcPr>
          <w:p>
            <w:r>
              <w:rPr>
                <w:b w:val="false"/>
                <w:bCs w:val="false"/>
                <w:sz w:val="18"/>
                <w:szCs w:val="18"/>
              </w:rPr>
              <w:t xml:space="preserve">operating_costs.csv</w:t>
            </w:r>
          </w:p>
        </w:tc>
        <w:tc>
          <w:tcPr>
            <w:tcW w:type="dxa" w:w="2400"/>
          </w:tcPr>
          <w:p>
            <w:r>
              <w:rPr>
                <w:b w:val="false"/>
                <w:bCs w:val="false"/>
                <w:sz w:val="18"/>
                <w:szCs w:val="18"/>
              </w:rPr>
              <w:t xml:space="preserve">One row per city</w:t>
            </w:r>
          </w:p>
        </w:tc>
        <w:tc>
          <w:tcPr>
            <w:tcW w:type="dxa" w:w="1400"/>
          </w:tcPr>
          <w:p>
            <w:r>
              <w:rPr>
                <w:b w:val="false"/>
                <w:bCs w:val="false"/>
                <w:sz w:val="18"/>
                <w:szCs w:val="18"/>
              </w:rPr>
              <w:t xml:space="preserve">47*</w:t>
            </w:r>
          </w:p>
        </w:tc>
        <w:tc>
          <w:tcPr>
            <w:tcW w:type="dxa" w:w="2800"/>
          </w:tcPr>
          <w:p>
            <w:r>
              <w:rPr>
                <w:b w:val="false"/>
                <w:bCs w:val="false"/>
                <w:sz w:val="18"/>
                <w:szCs w:val="18"/>
              </w:rPr>
              <w:t xml:space="preserve">Rent, Employee, Marketing, Logistics, Setup, Estimated Annual Cost</w:t>
            </w:r>
          </w:p>
        </w:tc>
      </w:tr>
      <w:tr>
        <w:tc>
          <w:tcPr>
            <w:tcW w:type="dxa" w:w="2400"/>
          </w:tcPr>
          <w:p>
            <w:r>
              <w:rPr>
                <w:b w:val="false"/>
                <w:bCs w:val="false"/>
                <w:sz w:val="18"/>
                <w:szCs w:val="18"/>
              </w:rPr>
              <w:t xml:space="preserve">customer_demand.csv</w:t>
            </w:r>
          </w:p>
        </w:tc>
        <w:tc>
          <w:tcPr>
            <w:tcW w:type="dxa" w:w="2400"/>
          </w:tcPr>
          <w:p>
            <w:r>
              <w:rPr>
                <w:b w:val="false"/>
                <w:bCs w:val="false"/>
                <w:sz w:val="18"/>
                <w:szCs w:val="18"/>
              </w:rPr>
              <w:t xml:space="preserve">Market × segment</w:t>
            </w:r>
          </w:p>
        </w:tc>
        <w:tc>
          <w:tcPr>
            <w:tcW w:type="dxa" w:w="1400"/>
          </w:tcPr>
          <w:p>
            <w:r>
              <w:rPr>
                <w:b w:val="false"/>
                <w:bCs w:val="false"/>
                <w:sz w:val="18"/>
                <w:szCs w:val="18"/>
              </w:rPr>
              <w:t xml:space="preserve">185*</w:t>
            </w:r>
          </w:p>
        </w:tc>
        <w:tc>
          <w:tcPr>
            <w:tcW w:type="dxa" w:w="2800"/>
          </w:tcPr>
          <w:p>
            <w:r>
              <w:rPr>
                <w:b w:val="false"/>
                <w:bCs w:val="false"/>
                <w:sz w:val="18"/>
                <w:szCs w:val="18"/>
              </w:rPr>
              <w:t xml:space="preserve">Potential/Existing Customers, Purchase Potential, Demand Score, Growth Rate</w:t>
            </w:r>
          </w:p>
        </w:tc>
      </w:tr>
    </w:tbl>
    <w:p>
      <w:pPr>
        <w:spacing w:after="160"/>
      </w:pPr>
      <w:r>
        <w:rPr>
          <w:i/>
          <w:iCs/>
          <w:color w:val="595959"/>
          <w:sz w:val="18"/>
          <w:szCs w:val="18"/>
        </w:rPr>
        <w:t xml:space="preserve">* Row counts include a small number of intentionally injected data-quality issues (duplicates, blanks, formatting inconsistencies) described in Section 5 — the clean row count is 46 markets.</w:t>
      </w:r>
    </w:p>
    <w:p>
      <w:pPr>
        <w:spacing w:after="160"/>
      </w:pPr>
      <w:r>
        <w:t xml:space="preserve">Data is synthetic but logically constructed, not random: larger/Tier-1 markets generally carry greater revenue and higher operating cost; markets with higher competition scores see that reflected in their opportunity score; growing Tier-2 cities can post strong opportunity scores despite smaller absolute size; and high demand alone does not guarantee a market is the best expansion choice once cost and competition are factored in.</w:t>
      </w:r>
    </w:p>
    <w:p>
      <w:pPr>
        <w:pStyle w:val="Heading1"/>
        <w:spacing w:after="160" w:before="320"/>
      </w:pPr>
      <w:r>
        <w:t xml:space="preserve">5. Data Cleaning</w:t>
      </w:r>
    </w:p>
    <w:p>
      <w:pPr>
        <w:spacing w:after="160"/>
      </w:pPr>
      <w:r>
        <w:t xml:space="preserve">Each raw CSV carries a small number of realistic data-quality issues, cleaned in both SQL and Excel:</w:t>
      </w:r>
    </w:p>
    <w:p>
      <w:pPr>
        <w:pStyle w:val="ListParagraph"/>
        <w:numPr>
          <w:ilvl w:val="0"/>
          <w:numId w:val="1"/>
        </w:numPr>
        <w:spacing w:after="80"/>
      </w:pPr>
      <w:r>
        <w:t xml:space="preserve">Duplicate rows — one duplicated Market_ID in markets.csv, duplicate rows in sales.csv, competitors.csv, operating_costs.csv, and customer_demand.csv.</w:t>
      </w:r>
    </w:p>
    <w:p>
      <w:pPr>
        <w:pStyle w:val="ListParagraph"/>
        <w:numPr>
          <w:ilvl w:val="0"/>
          <w:numId w:val="1"/>
        </w:numPr>
        <w:spacing w:after="80"/>
      </w:pPr>
      <w:r>
        <w:t xml:space="preserve">Missing values — blank Average_Income (markets), blank Discount (sales), blank Marketing_Cost (operating_costs).</w:t>
      </w:r>
    </w:p>
    <w:p>
      <w:pPr>
        <w:pStyle w:val="ListParagraph"/>
        <w:numPr>
          <w:ilvl w:val="0"/>
          <w:numId w:val="1"/>
        </w:numPr>
        <w:spacing w:after="80"/>
      </w:pPr>
      <w:r>
        <w:t xml:space="preserve">Formatting issues — extra leading/trailing spaces and inconsistent capitalization in City, Competitor_Name, Customer_Segment, and Price_Level.</w:t>
      </w:r>
    </w:p>
    <w:p>
      <w:pPr>
        <w:pStyle w:val="Heading2"/>
        <w:spacing w:after="120" w:before="240"/>
      </w:pPr>
      <w:r>
        <w:t xml:space="preserve">SQL cleaning (00_schema_and_import.sql)</w:t>
      </w:r>
    </w:p>
    <w:p>
      <w:pPr>
        <w:pStyle w:val="ListParagraph"/>
        <w:numPr>
          <w:ilvl w:val="0"/>
          <w:numId w:val="1"/>
        </w:numPr>
        <w:spacing w:after="80"/>
      </w:pPr>
      <w:r>
        <w:t xml:space="preserve">Duplicate rows removed with a ROW_NUMBER() window function before dependent tables are loaded (foreign keys make a blanket DELETE unsafe once child rows exist).</w:t>
      </w:r>
    </w:p>
    <w:p>
      <w:pPr>
        <w:pStyle w:val="ListParagraph"/>
        <w:numPr>
          <w:ilvl w:val="0"/>
          <w:numId w:val="1"/>
        </w:numPr>
        <w:spacing w:after="80"/>
      </w:pPr>
      <w:r>
        <w:t xml:space="preserve">TRIM() and case-normalization UPDATE statements standardize City, State, Price_Level, and Product_Category.</w:t>
      </w:r>
    </w:p>
    <w:p>
      <w:pPr>
        <w:pStyle w:val="ListParagraph"/>
        <w:numPr>
          <w:ilvl w:val="0"/>
          <w:numId w:val="1"/>
        </w:numPr>
        <w:spacing w:after="80"/>
      </w:pPr>
      <w:r>
        <w:t xml:space="preserve">Missing Average_Income is imputed from the regional average; missing Discount defaults to 0; missing Marketing_Cost is imputed from Estimated_Target_Customers.</w:t>
      </w:r>
    </w:p>
    <w:p>
      <w:pPr>
        <w:pStyle w:val="Heading2"/>
        <w:spacing w:after="120" w:before="240"/>
      </w:pPr>
      <w:r>
        <w:t xml:space="preserve">Excel cleaning (Cleaned_Data sheet)</w:t>
      </w:r>
    </w:p>
    <w:p>
      <w:pPr>
        <w:pStyle w:val="ListParagraph"/>
        <w:numPr>
          <w:ilvl w:val="0"/>
          <w:numId w:val="1"/>
        </w:numPr>
        <w:spacing w:after="80"/>
      </w:pPr>
      <w:r>
        <w:t xml:space="preserve">PROPER(TRIM(...)) formulas clean City/State directly from Raw_Markets — no values are typed by hand.</w:t>
      </w:r>
    </w:p>
    <w:p>
      <w:pPr>
        <w:pStyle w:val="ListParagraph"/>
        <w:numPr>
          <w:ilvl w:val="0"/>
          <w:numId w:val="1"/>
        </w:numPr>
        <w:spacing w:after="80"/>
      </w:pPr>
      <w:r>
        <w:t xml:space="preserve">MATCH() with exact-match mode naturally returns the first occurrence of a duplicated Market_ID, so the duplicate row does not distort Cleaned_Data.</w:t>
      </w:r>
    </w:p>
    <w:p>
      <w:pPr>
        <w:pStyle w:val="ListParagraph"/>
        <w:numPr>
          <w:ilvl w:val="0"/>
          <w:numId w:val="1"/>
        </w:numPr>
        <w:spacing w:after="80"/>
      </w:pPr>
      <w:r>
        <w:t xml:space="preserve">Missing Average_Income is filled with IF(ISBLANK(...), AVERAGEIFS(regional average), original value) — same imputation logic as the SQL version, kept consistent across tools.</w:t>
      </w:r>
    </w:p>
    <w:p>
      <w:pPr>
        <w:pStyle w:val="Heading1"/>
        <w:spacing w:after="160" w:before="320"/>
      </w:pPr>
      <w:r>
        <w:t xml:space="preserve">6. Data Model</w:t>
      </w:r>
    </w:p>
    <w:p>
      <w:pPr>
        <w:spacing w:after="160"/>
      </w:pPr>
      <w:r>
        <w:t xml:space="preserve">A star-schema-style model centers on the market dimension, avoiding many-to-many relationships:</w:t>
      </w:r>
    </w:p>
    <w:p>
      <w:pPr>
        <w:pStyle w:val="ListParagraph"/>
        <w:numPr>
          <w:ilvl w:val="0"/>
          <w:numId w:val="1"/>
        </w:numPr>
        <w:spacing w:after="80"/>
      </w:pPr>
      <w:r>
        <w:t xml:space="preserve">Dim_Market (markets) — the hub table, one row per city.</w:t>
      </w:r>
    </w:p>
    <w:p>
      <w:pPr>
        <w:pStyle w:val="ListParagraph"/>
        <w:numPr>
          <w:ilvl w:val="0"/>
          <w:numId w:val="1"/>
        </w:numPr>
        <w:spacing w:after="80"/>
      </w:pPr>
      <w:r>
        <w:t xml:space="preserve">Dim_Date — a generated calendar table (2023–2025) related to Fact_Sales on Date.</w:t>
      </w:r>
    </w:p>
    <w:p>
      <w:pPr>
        <w:pStyle w:val="ListParagraph"/>
        <w:numPr>
          <w:ilvl w:val="0"/>
          <w:numId w:val="1"/>
        </w:numPr>
        <w:spacing w:after="80"/>
      </w:pPr>
      <w:r>
        <w:t xml:space="preserve">Fact_Sales, Fact_Competitors, Fact_Costs, Fact_Demand — each relates back to Dim_Market on Market_ID (1:* except Fact_Costs, which is 1:1).</w:t>
      </w:r>
    </w:p>
    <w:p>
      <w:pPr>
        <w:spacing w:after="160"/>
      </w:pPr>
      <w:r>
        <w:t xml:space="preserve">The same relationship (Market_ID) is used consistently in MySQL foreign keys, Excel INDEX/MATCH and SUMIFS/AVERAGEIFS lookups, and Power BI relationships — one join key, three tools.</w:t>
      </w:r>
    </w:p>
    <w:p>
      <w:pPr>
        <w:pStyle w:val="Heading1"/>
        <w:spacing w:after="160" w:before="320"/>
      </w:pPr>
      <w:r>
        <w:t xml:space="preserve">7. SQL Analysis</w:t>
      </w:r>
    </w:p>
    <w:p>
      <w:pPr>
        <w:spacing w:after="160"/>
      </w:pPr>
      <w:r>
        <w:t xml:space="preserve">Seven SQL files implement the schema and analysis in MySQL (database: business_expansion_analysis):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4E78" w:val="clear"/>
          </w:tcPr>
          <w:p>
            <w:r>
              <w:rPr>
                <w:b/>
                <w:bCs/>
                <w:color w:val="FFFFFF"/>
                <w:sz w:val="18"/>
                <w:szCs w:val="18"/>
              </w:rPr>
              <w:t xml:space="preserve">File</w:t>
            </w:r>
          </w:p>
        </w:tc>
        <w:tc>
          <w:tcPr>
            <w:tcW w:type="dxa" w:w="5800"/>
            <w:shd w:fill="1F4E78" w:val="clear"/>
          </w:tcPr>
          <w:p>
            <w:r>
              <w:rPr>
                <w:b/>
                <w:bCs/>
                <w:color w:val="FFFFFF"/>
                <w:sz w:val="18"/>
                <w:szCs w:val="18"/>
              </w:rPr>
              <w:t xml:space="preserve">Purpose</w:t>
            </w:r>
          </w:p>
        </w:tc>
      </w:tr>
      <w:tr>
        <w:tc>
          <w:tcPr>
            <w:tcW w:type="dxa" w:w="3200"/>
          </w:tcPr>
          <w:p>
            <w:r>
              <w:rPr>
                <w:b w:val="false"/>
                <w:bCs w:val="false"/>
                <w:sz w:val="18"/>
                <w:szCs w:val="18"/>
              </w:rPr>
              <w:t xml:space="preserve">00_schema_and_import.sql</w:t>
            </w:r>
          </w:p>
        </w:tc>
        <w:tc>
          <w:tcPr>
            <w:tcW w:type="dxa" w:w="5800"/>
          </w:tcPr>
          <w:p>
            <w:r>
              <w:rPr>
                <w:b w:val="false"/>
                <w:bCs w:val="false"/>
                <w:sz w:val="18"/>
                <w:szCs w:val="18"/>
              </w:rPr>
              <w:t xml:space="preserve">Database/table creation, keys, import instructions, data-quality checks, cleaning queries</w:t>
            </w:r>
          </w:p>
        </w:tc>
      </w:tr>
      <w:tr>
        <w:tc>
          <w:tcPr>
            <w:tcW w:type="dxa" w:w="3200"/>
          </w:tcPr>
          <w:p>
            <w:r>
              <w:rPr>
                <w:b w:val="false"/>
                <w:bCs w:val="false"/>
                <w:sz w:val="18"/>
                <w:szCs w:val="18"/>
              </w:rPr>
              <w:t xml:space="preserve">01_market_analysis.sql</w:t>
            </w:r>
          </w:p>
        </w:tc>
        <w:tc>
          <w:tcPr>
            <w:tcW w:type="dxa" w:w="5800"/>
          </w:tcPr>
          <w:p>
            <w:r>
              <w:rPr>
                <w:b w:val="false"/>
                <w:bCs w:val="false"/>
                <w:sz w:val="18"/>
                <w:szCs w:val="18"/>
              </w:rPr>
              <w:t xml:space="preserve">Market sizing, demand ranking, regional comparison, income banding</w:t>
            </w:r>
          </w:p>
        </w:tc>
      </w:tr>
      <w:tr>
        <w:tc>
          <w:tcPr>
            <w:tcW w:type="dxa" w:w="3200"/>
          </w:tcPr>
          <w:p>
            <w:r>
              <w:rPr>
                <w:b w:val="false"/>
                <w:bCs w:val="false"/>
                <w:sz w:val="18"/>
                <w:szCs w:val="18"/>
              </w:rPr>
              <w:t xml:space="preserve">02_sales_growth_analysis.sql</w:t>
            </w:r>
          </w:p>
        </w:tc>
        <w:tc>
          <w:tcPr>
            <w:tcW w:type="dxa" w:w="5800"/>
          </w:tcPr>
          <w:p>
            <w:r>
              <w:rPr>
                <w:b w:val="false"/>
                <w:bCs w:val="false"/>
                <w:sz w:val="18"/>
                <w:szCs w:val="18"/>
              </w:rPr>
              <w:t xml:space="preserve">Revenue/profit ranking, YoY growth (LAG), revenue-to-cost ratio, DENSE_RANK</w:t>
            </w:r>
          </w:p>
        </w:tc>
      </w:tr>
      <w:tr>
        <w:tc>
          <w:tcPr>
            <w:tcW w:type="dxa" w:w="3200"/>
          </w:tcPr>
          <w:p>
            <w:r>
              <w:rPr>
                <w:b w:val="false"/>
                <w:bCs w:val="false"/>
                <w:sz w:val="18"/>
                <w:szCs w:val="18"/>
              </w:rPr>
              <w:t xml:space="preserve">03_competitor_analysis.sql</w:t>
            </w:r>
          </w:p>
        </w:tc>
        <w:tc>
          <w:tcPr>
            <w:tcW w:type="dxa" w:w="5800"/>
          </w:tcPr>
          <w:p>
            <w:r>
              <w:rPr>
                <w:b w:val="false"/>
                <w:bCs w:val="false"/>
                <w:sz w:val="18"/>
                <w:szCs w:val="18"/>
              </w:rPr>
              <w:t xml:space="preserve">Competition intensity, high-demand/low-competition markets, market concentration</w:t>
            </w:r>
          </w:p>
        </w:tc>
      </w:tr>
      <w:tr>
        <w:tc>
          <w:tcPr>
            <w:tcW w:type="dxa" w:w="3200"/>
          </w:tcPr>
          <w:p>
            <w:r>
              <w:rPr>
                <w:b w:val="false"/>
                <w:bCs w:val="false"/>
                <w:sz w:val="18"/>
                <w:szCs w:val="18"/>
              </w:rPr>
              <w:t xml:space="preserve">04_cost_analysis.sql</w:t>
            </w:r>
          </w:p>
        </w:tc>
        <w:tc>
          <w:tcPr>
            <w:tcW w:type="dxa" w:w="5800"/>
          </w:tcPr>
          <w:p>
            <w:r>
              <w:rPr>
                <w:b w:val="false"/>
                <w:bCs w:val="false"/>
                <w:sz w:val="18"/>
                <w:szCs w:val="18"/>
              </w:rPr>
              <w:t xml:space="preserve">Cost ranking, cost breakdown %, cost per target customer, revenue vs. cost</w:t>
            </w:r>
          </w:p>
        </w:tc>
      </w:tr>
      <w:tr>
        <w:tc>
          <w:tcPr>
            <w:tcW w:type="dxa" w:w="3200"/>
          </w:tcPr>
          <w:p>
            <w:r>
              <w:rPr>
                <w:b w:val="false"/>
                <w:bCs w:val="false"/>
                <w:sz w:val="18"/>
                <w:szCs w:val="18"/>
              </w:rPr>
              <w:t xml:space="preserve">05_opportunity_analysis.sql</w:t>
            </w:r>
          </w:p>
        </w:tc>
        <w:tc>
          <w:tcPr>
            <w:tcW w:type="dxa" w:w="5800"/>
          </w:tcPr>
          <w:p>
            <w:r>
              <w:rPr>
                <w:b w:val="false"/>
                <w:bCs w:val="false"/>
                <w:sz w:val="18"/>
                <w:szCs w:val="18"/>
              </w:rPr>
              <w:t xml:space="preserve">Market Opportunity Score build (CTEs), Top 10 ranking (RANK)</w:t>
            </w:r>
          </w:p>
        </w:tc>
      </w:tr>
      <w:tr>
        <w:tc>
          <w:tcPr>
            <w:tcW w:type="dxa" w:w="3200"/>
          </w:tcPr>
          <w:p>
            <w:r>
              <w:rPr>
                <w:b w:val="false"/>
                <w:bCs w:val="false"/>
                <w:sz w:val="18"/>
                <w:szCs w:val="18"/>
              </w:rPr>
              <w:t xml:space="preserve">06_business_insights.sql</w:t>
            </w:r>
          </w:p>
        </w:tc>
        <w:tc>
          <w:tcPr>
            <w:tcW w:type="dxa" w:w="5800"/>
          </w:tcPr>
          <w:p>
            <w:r>
              <w:rPr>
                <w:b w:val="false"/>
                <w:bCs w:val="false"/>
                <w:sz w:val="18"/>
                <w:szCs w:val="18"/>
              </w:rPr>
              <w:t xml:space="preserve">Full decision-support view: Opportunity + Risk + Recommendation, segment insights</w:t>
            </w:r>
          </w:p>
        </w:tc>
      </w:tr>
    </w:tbl>
    <w:p>
      <w:pPr>
        <w:spacing w:after="160"/>
      </w:pPr>
      <w:r>
        <w:t xml:space="preserve">Techniques demonstrated: SELECT/WHERE/ORDER BY/GROUP BY/HAVING, CASE expressions, INNER and LEFT JOIN, correlated and uncorrelated subqueries, CTEs (including chained/nested CTEs), aggregate functions, and the window functions RANK(), DENSE_RANK(), and LAG(). Every query carries a comment explaining the business question it answers.</w:t>
      </w:r>
    </w:p>
    <w:p>
      <w:pPr>
        <w:pStyle w:val="Heading1"/>
        <w:spacing w:after="160" w:before="320"/>
      </w:pPr>
      <w:r>
        <w:t xml:space="preserve">8. Excel Analysis</w:t>
      </w:r>
    </w:p>
    <w:p>
      <w:pPr>
        <w:spacing w:after="160"/>
      </w:pPr>
      <w:r>
        <w:t xml:space="preserve">Excel/business_expansion_analysis.xlsx mirrors the SQL logic in a fully formula-driven workbook (no hardcoded analytical results) — recalculated end-to-end with zero formula errors across 2,035 formulas.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1F4E78" w:val="clear"/>
          </w:tcPr>
          <w:p>
            <w:r>
              <w:rPr>
                <w:b/>
                <w:bCs/>
                <w:color w:val="FFFFFF"/>
                <w:sz w:val="18"/>
                <w:szCs w:val="18"/>
              </w:rPr>
              <w:t xml:space="preserve">Sheet</w:t>
            </w:r>
          </w:p>
        </w:tc>
        <w:tc>
          <w:tcPr>
            <w:tcW w:type="dxa" w:w="5600"/>
            <w:shd w:fill="1F4E78" w:val="clear"/>
          </w:tcPr>
          <w:p>
            <w:r>
              <w:rPr>
                <w:b/>
                <w:bCs/>
                <w:color w:val="FFFFFF"/>
                <w:sz w:val="18"/>
                <w:szCs w:val="18"/>
              </w:rPr>
              <w:t xml:space="preserve">Contents</w:t>
            </w:r>
          </w:p>
        </w:tc>
      </w:tr>
      <w:tr>
        <w:tc>
          <w:tcPr>
            <w:tcW w:type="dxa" w:w="3400"/>
          </w:tcPr>
          <w:p>
            <w:r>
              <w:rPr>
                <w:b w:val="false"/>
                <w:bCs w:val="false"/>
                <w:sz w:val="18"/>
                <w:szCs w:val="18"/>
              </w:rPr>
              <w:t xml:space="preserve">Raw_Markets / Raw_Sales / Raw_Competitors / Raw_Costs / Raw_Demand</w:t>
            </w:r>
          </w:p>
        </w:tc>
        <w:tc>
          <w:tcPr>
            <w:tcW w:type="dxa" w:w="5600"/>
          </w:tcPr>
          <w:p>
            <w:r>
              <w:rPr>
                <w:b w:val="false"/>
                <w:bCs w:val="false"/>
                <w:sz w:val="18"/>
                <w:szCs w:val="18"/>
              </w:rPr>
              <w:t xml:space="preserve">Literal source data, including the data-quality issues</w:t>
            </w:r>
          </w:p>
        </w:tc>
      </w:tr>
      <w:tr>
        <w:tc>
          <w:tcPr>
            <w:tcW w:type="dxa" w:w="3400"/>
          </w:tcPr>
          <w:p>
            <w:r>
              <w:rPr>
                <w:b w:val="false"/>
                <w:bCs w:val="false"/>
                <w:sz w:val="18"/>
                <w:szCs w:val="18"/>
              </w:rPr>
              <w:t xml:space="preserve">Cleaned_Data</w:t>
            </w:r>
          </w:p>
        </w:tc>
        <w:tc>
          <w:tcPr>
            <w:tcW w:type="dxa" w:w="5600"/>
          </w:tcPr>
          <w:p>
            <w:r>
              <w:rPr>
                <w:b w:val="false"/>
                <w:bCs w:val="false"/>
                <w:sz w:val="18"/>
                <w:szCs w:val="18"/>
              </w:rPr>
              <w:t xml:space="preserve">One row per market; TRIM/PROPER-cleaned text; imputed missing income</w:t>
            </w:r>
          </w:p>
        </w:tc>
      </w:tr>
      <w:tr>
        <w:tc>
          <w:tcPr>
            <w:tcW w:type="dxa" w:w="3400"/>
          </w:tcPr>
          <w:p>
            <w:r>
              <w:rPr>
                <w:b w:val="false"/>
                <w:bCs w:val="false"/>
                <w:sz w:val="18"/>
                <w:szCs w:val="18"/>
              </w:rPr>
              <w:t xml:space="preserve">Calculations</w:t>
            </w:r>
          </w:p>
        </w:tc>
        <w:tc>
          <w:tcPr>
            <w:tcW w:type="dxa" w:w="5600"/>
          </w:tcPr>
          <w:p>
            <w:r>
              <w:rPr>
                <w:b w:val="false"/>
                <w:bCs w:val="false"/>
                <w:sz w:val="18"/>
                <w:szCs w:val="18"/>
              </w:rPr>
              <w:t xml:space="preserve">SUMIFS/AVERAGEIFS aggregates (revenue, cost, profit, competition) and the five normalized 0–100 component scores</w:t>
            </w:r>
          </w:p>
        </w:tc>
      </w:tr>
      <w:tr>
        <w:tc>
          <w:tcPr>
            <w:tcW w:type="dxa" w:w="3400"/>
          </w:tcPr>
          <w:p>
            <w:r>
              <w:rPr>
                <w:b w:val="false"/>
                <w:bCs w:val="false"/>
                <w:sz w:val="18"/>
                <w:szCs w:val="18"/>
              </w:rPr>
              <w:t xml:space="preserve">Market_Ranking</w:t>
            </w:r>
          </w:p>
        </w:tc>
        <w:tc>
          <w:tcPr>
            <w:tcW w:type="dxa" w:w="5600"/>
          </w:tcPr>
          <w:p>
            <w:r>
              <w:rPr>
                <w:b w:val="false"/>
                <w:bCs w:val="false"/>
                <w:sz w:val="18"/>
                <w:szCs w:val="18"/>
              </w:rPr>
              <w:t xml:space="preserve">Market Opportunity Score, RANK(), Risk Score, Risk Level, Opportunity Class, Recommendation — with adjustable weight cells</w:t>
            </w:r>
          </w:p>
        </w:tc>
      </w:tr>
      <w:tr>
        <w:tc>
          <w:tcPr>
            <w:tcW w:type="dxa" w:w="3400"/>
          </w:tcPr>
          <w:p>
            <w:r>
              <w:rPr>
                <w:b w:val="false"/>
                <w:bCs w:val="false"/>
                <w:sz w:val="18"/>
                <w:szCs w:val="18"/>
              </w:rPr>
              <w:t xml:space="preserve">Pivot_Analysis</w:t>
            </w:r>
          </w:p>
        </w:tc>
        <w:tc>
          <w:tcPr>
            <w:tcW w:type="dxa" w:w="5600"/>
          </w:tcPr>
          <w:p>
            <w:r>
              <w:rPr>
                <w:b w:val="false"/>
                <w:bCs w:val="false"/>
                <w:sz w:val="18"/>
                <w:szCs w:val="18"/>
              </w:rPr>
              <w:t xml:space="preserve">Region/Tier/Segment summary tables (SUMIFS/AVERAGEIFS/COUNTIFS)</w:t>
            </w:r>
          </w:p>
        </w:tc>
      </w:tr>
      <w:tr>
        <w:tc>
          <w:tcPr>
            <w:tcW w:type="dxa" w:w="3400"/>
          </w:tcPr>
          <w:p>
            <w:r>
              <w:rPr>
                <w:b w:val="false"/>
                <w:bCs w:val="false"/>
                <w:sz w:val="18"/>
                <w:szCs w:val="18"/>
              </w:rPr>
              <w:t xml:space="preserve">Dashboard</w:t>
            </w:r>
          </w:p>
        </w:tc>
        <w:tc>
          <w:tcPr>
            <w:tcW w:type="dxa" w:w="5600"/>
          </w:tcPr>
          <w:p>
            <w:r>
              <w:rPr>
                <w:b w:val="false"/>
                <w:bCs w:val="false"/>
                <w:sz w:val="18"/>
                <w:szCs w:val="18"/>
              </w:rPr>
              <w:t xml:space="preserve">KPI cards and a Top 10 table, all formula-linked to Market_Ranking</w:t>
            </w:r>
          </w:p>
        </w:tc>
      </w:tr>
    </w:tbl>
    <w:p>
      <w:pPr>
        <w:spacing w:after="160"/>
      </w:pPr>
      <w:r>
        <w:t xml:space="preserve">Formulas used include SUMIFS, AVERAGEIFS, COUNTIFS, IF, IFERROR, INDEX/MATCH, RANK, PERCENTILE, ROUND, TRIM, and PROPER.</w:t>
      </w:r>
    </w:p>
    <w:p>
      <w:pPr>
        <w:pStyle w:val="Heading1"/>
        <w:spacing w:after="160" w:before="320"/>
      </w:pPr>
      <w:r>
        <w:t xml:space="preserve">9. Power BI Dashboard</w:t>
      </w:r>
    </w:p>
    <w:p>
      <w:pPr>
        <w:spacing w:after="160"/>
      </w:pPr>
      <w:r>
        <w:t xml:space="preserve">A 3-page dashboard (full build steps in PowerBI/Power_BI_Build_Guide.md):</w:t>
      </w:r>
    </w:p>
    <w:p>
      <w:pPr>
        <w:pStyle w:val="Heading2"/>
        <w:spacing w:after="120" w:before="240"/>
      </w:pPr>
      <w:r>
        <w:t xml:space="preserve">Page 1 — Executive Market Overview</w:t>
      </w:r>
    </w:p>
    <w:p>
      <w:pPr>
        <w:spacing w:after="160"/>
      </w:pPr>
      <w:r>
        <w:t xml:space="preserve">KPI cards (Markets Analyzed, High-Potential Markets, Revenue Potential, Average Growth, Average Opportunity Score, Best Expansion Market), a city map, Top 10 Expansion Markets, growth/demand/competition breakdowns by city, and revenue potential by region — with Region, State, Tier, Product Category, and Year slicers.</w:t>
      </w:r>
    </w:p>
    <w:p>
      <w:pPr>
        <w:pStyle w:val="Heading2"/>
        <w:spacing w:after="120" w:before="240"/>
      </w:pPr>
      <w:r>
        <w:t xml:space="preserve">Page 2 — Market Attractiveness &amp; Risk Analysis</w:t>
      </w:r>
    </w:p>
    <w:p>
      <w:pPr>
        <w:spacing w:after="160"/>
      </w:pPr>
      <w:r>
        <w:t xml:space="preserve">A Demand-vs-Competition scatter plot splitting markets into four quadrants (Most Attractive / Competitive Opportunity / Low Priority / Avoid-Review), cost and revenue-vs-cost visuals, a risk classification chart, and a full market ranking table with conditional formatting.</w:t>
      </w:r>
    </w:p>
    <w:p>
      <w:pPr>
        <w:pStyle w:val="Heading2"/>
        <w:spacing w:after="120" w:before="240"/>
      </w:pPr>
      <w:r>
        <w:t xml:space="preserve">Page 3 — Expansion Strategy Simulator</w:t>
      </w:r>
    </w:p>
    <w:p>
      <w:pPr>
        <w:spacing w:after="160"/>
      </w:pPr>
      <w:r>
        <w:t xml:space="preserve">Five What-If Parameters (Demand, Growth, Revenue, Competition, Cost weights) drive a Dynamic Opportunity Score that recalculates every visual on the page live, plus three bookmarked scenarios (Balanced, Aggressive Growth, Cost-Conscious) so a reviewer can see the recommended city change with strategy.</w:t>
      </w:r>
    </w:p>
    <w:p>
      <w:pPr>
        <w:pStyle w:val="Heading1"/>
        <w:spacing w:after="160" w:before="320"/>
      </w:pPr>
      <w:r>
        <w:t xml:space="preserve">10. Market Opportunity Score Methodology</w:t>
      </w:r>
    </w:p>
    <w:p>
      <w:pPr>
        <w:spacing w:after="160"/>
      </w:pPr>
      <w:r>
        <w:t xml:space="preserve">The Market Opportunity Score (0–100) is a weighted blend of five normalized components, calculated identically in SQL, Excel, and DAX: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W w:type="dxa" w:w="3000"/>
            <w:shd w:fill="1F4E78" w:val="clear"/>
          </w:tcPr>
          <w:p>
            <w:r>
              <w:rPr>
                <w:b/>
                <w:bCs/>
                <w:color w:val="FFFFFF"/>
                <w:sz w:val="18"/>
                <w:szCs w:val="18"/>
              </w:rPr>
              <w:t xml:space="preserve">Component</w:t>
            </w:r>
          </w:p>
        </w:tc>
        <w:tc>
          <w:tcPr>
            <w:tcW w:type="dxa" w:w="1500"/>
            <w:shd w:fill="1F4E78" w:val="clear"/>
          </w:tcPr>
          <w:p>
            <w:r>
              <w:rPr>
                <w:b/>
                <w:bCs/>
                <w:color w:val="FFFFFF"/>
                <w:sz w:val="18"/>
                <w:szCs w:val="18"/>
              </w:rPr>
              <w:t xml:space="preserve">Weight</w:t>
            </w:r>
          </w:p>
        </w:tc>
        <w:tc>
          <w:tcPr>
            <w:tcW w:type="dxa" w:w="4500"/>
            <w:shd w:fill="1F4E78" w:val="clear"/>
          </w:tcPr>
          <w:p>
            <w:r>
              <w:rPr>
                <w:b/>
                <w:bCs/>
                <w:color w:val="FFFFFF"/>
                <w:sz w:val="18"/>
                <w:szCs w:val="18"/>
              </w:rPr>
              <w:t xml:space="preserve">How it's normalized</w:t>
            </w:r>
          </w:p>
        </w:tc>
      </w:tr>
      <w:tr>
        <w:tc>
          <w:tcPr>
            <w:tcW w:type="dxa" w:w="3000"/>
          </w:tcPr>
          <w:p>
            <w:r>
              <w:rPr>
                <w:b w:val="false"/>
                <w:bCs w:val="false"/>
                <w:sz w:val="18"/>
                <w:szCs w:val="18"/>
              </w:rPr>
              <w:t xml:space="preserve">Demand Score</w:t>
            </w:r>
          </w:p>
        </w:tc>
        <w:tc>
          <w:tcPr>
            <w:tcW w:type="dxa" w:w="1500"/>
          </w:tcPr>
          <w:p>
            <w:r>
              <w:rPr>
                <w:b w:val="false"/>
                <w:bCs w:val="false"/>
                <w:sz w:val="18"/>
                <w:szCs w:val="18"/>
              </w:rPr>
              <w:t xml:space="preserve">30%</w:t>
            </w:r>
          </w:p>
        </w:tc>
        <w:tc>
          <w:tcPr>
            <w:tcW w:type="dxa" w:w="4500"/>
          </w:tcPr>
          <w:p>
            <w:r>
              <w:rPr>
                <w:b w:val="false"/>
                <w:bCs w:val="false"/>
                <w:sz w:val="18"/>
                <w:szCs w:val="18"/>
              </w:rPr>
              <w:t xml:space="preserve">Directly from markets.csv (0–100 scale)</w:t>
            </w:r>
          </w:p>
        </w:tc>
      </w:tr>
      <w:tr>
        <w:tc>
          <w:tcPr>
            <w:tcW w:type="dxa" w:w="3000"/>
          </w:tcPr>
          <w:p>
            <w:r>
              <w:rPr>
                <w:b w:val="false"/>
                <w:bCs w:val="false"/>
                <w:sz w:val="18"/>
                <w:szCs w:val="18"/>
              </w:rPr>
              <w:t xml:space="preserve">Growth Score</w:t>
            </w:r>
          </w:p>
        </w:tc>
        <w:tc>
          <w:tcPr>
            <w:tcW w:type="dxa" w:w="1500"/>
          </w:tcPr>
          <w:p>
            <w:r>
              <w:rPr>
                <w:b w:val="false"/>
                <w:bCs w:val="false"/>
                <w:sz w:val="18"/>
                <w:szCs w:val="18"/>
              </w:rPr>
              <w:t xml:space="preserve">20%</w:t>
            </w:r>
          </w:p>
        </w:tc>
        <w:tc>
          <w:tcPr>
            <w:tcW w:type="dxa" w:w="4500"/>
          </w:tcPr>
          <w:p>
            <w:r>
              <w:rPr>
                <w:b w:val="false"/>
                <w:bCs w:val="false"/>
                <w:sz w:val="18"/>
                <w:szCs w:val="18"/>
              </w:rPr>
              <w:t xml:space="preserve">Market_Growth_Rate scaled against a 25% ceiling, capped at 100</w:t>
            </w:r>
          </w:p>
        </w:tc>
      </w:tr>
      <w:tr>
        <w:tc>
          <w:tcPr>
            <w:tcW w:type="dxa" w:w="3000"/>
          </w:tcPr>
          <w:p>
            <w:r>
              <w:rPr>
                <w:b w:val="false"/>
                <w:bCs w:val="false"/>
                <w:sz w:val="18"/>
                <w:szCs w:val="18"/>
              </w:rPr>
              <w:t xml:space="preserve">Revenue Score</w:t>
            </w:r>
          </w:p>
        </w:tc>
        <w:tc>
          <w:tcPr>
            <w:tcW w:type="dxa" w:w="1500"/>
          </w:tcPr>
          <w:p>
            <w:r>
              <w:rPr>
                <w:b w:val="false"/>
                <w:bCs w:val="false"/>
                <w:sz w:val="18"/>
                <w:szCs w:val="18"/>
              </w:rPr>
              <w:t xml:space="preserve">25%</w:t>
            </w:r>
          </w:p>
        </w:tc>
        <w:tc>
          <w:tcPr>
            <w:tcW w:type="dxa" w:w="4500"/>
          </w:tcPr>
          <w:p>
            <w:r>
              <w:rPr>
                <w:b w:val="false"/>
                <w:bCs w:val="false"/>
                <w:sz w:val="18"/>
                <w:szCs w:val="18"/>
              </w:rPr>
              <w:t xml:space="preserve">Average annual revenue scaled against the 90th percentile across markets, capped at 100</w:t>
            </w:r>
          </w:p>
        </w:tc>
      </w:tr>
      <w:tr>
        <w:tc>
          <w:tcPr>
            <w:tcW w:type="dxa" w:w="3000"/>
          </w:tcPr>
          <w:p>
            <w:r>
              <w:rPr>
                <w:b w:val="false"/>
                <w:bCs w:val="false"/>
                <w:sz w:val="18"/>
                <w:szCs w:val="18"/>
              </w:rPr>
              <w:t xml:space="preserve">Low Competition Score</w:t>
            </w:r>
          </w:p>
        </w:tc>
        <w:tc>
          <w:tcPr>
            <w:tcW w:type="dxa" w:w="1500"/>
          </w:tcPr>
          <w:p>
            <w:r>
              <w:rPr>
                <w:b w:val="false"/>
                <w:bCs w:val="false"/>
                <w:sz w:val="18"/>
                <w:szCs w:val="18"/>
              </w:rPr>
              <w:t xml:space="preserve">15%</w:t>
            </w:r>
          </w:p>
        </w:tc>
        <w:tc>
          <w:tcPr>
            <w:tcW w:type="dxa" w:w="4500"/>
          </w:tcPr>
          <w:p>
            <w:r>
              <w:rPr>
                <w:b w:val="false"/>
                <w:bCs w:val="false"/>
                <w:sz w:val="18"/>
                <w:szCs w:val="18"/>
              </w:rPr>
              <w:t xml:space="preserve">100 − average Competition_Score for the market</w:t>
            </w:r>
          </w:p>
        </w:tc>
      </w:tr>
      <w:tr>
        <w:tc>
          <w:tcPr>
            <w:tcW w:type="dxa" w:w="3000"/>
          </w:tcPr>
          <w:p>
            <w:r>
              <w:rPr>
                <w:b w:val="false"/>
                <w:bCs w:val="false"/>
                <w:sz w:val="18"/>
                <w:szCs w:val="18"/>
              </w:rPr>
              <w:t xml:space="preserve">Low Cost Score</w:t>
            </w:r>
          </w:p>
        </w:tc>
        <w:tc>
          <w:tcPr>
            <w:tcW w:type="dxa" w:w="1500"/>
          </w:tcPr>
          <w:p>
            <w:r>
              <w:rPr>
                <w:b w:val="false"/>
                <w:bCs w:val="false"/>
                <w:sz w:val="18"/>
                <w:szCs w:val="18"/>
              </w:rPr>
              <w:t xml:space="preserve">10%</w:t>
            </w:r>
          </w:p>
        </w:tc>
        <w:tc>
          <w:tcPr>
            <w:tcW w:type="dxa" w:w="4500"/>
          </w:tcPr>
          <w:p>
            <w:r>
              <w:rPr>
                <w:b w:val="false"/>
                <w:bCs w:val="false"/>
                <w:sz w:val="18"/>
                <w:szCs w:val="18"/>
              </w:rPr>
              <w:t xml:space="preserve">100 − (Estimated_Annual_Cost / highest cost in the dataset × 100)</w:t>
            </w:r>
          </w:p>
        </w:tc>
      </w:tr>
    </w:tbl>
    <w:p>
      <w:pPr>
        <w:spacing w:after="160"/>
      </w:pPr>
      <w:r>
        <w:t xml:space="preserve">Revenue is normalized against the 90th percentile rather than the single maximum so that one outsized metro (Mumbai) doesn't compress every other city's score toward zero — an early version of the model did exactly that, and recalibrating this normalization plus widening the Demand Score's raw range were the two changes that turned an unusable, compressed 0–57 score range into the current, decision-useful 27–68 spread.</w:t>
      </w:r>
    </w:p>
    <w:p>
      <w:pPr>
        <w:spacing w:after="160"/>
      </w:pPr>
      <w:r>
        <w:t xml:space="preserve">Classification bands are calibrated to this dataset's actual score distribution: High Potential (≥65), Attractive (55–64.9), Consider (45–54.9), Low Priority (&lt;45).</w:t>
      </w:r>
    </w:p>
    <w:p>
      <w:pPr>
        <w:pStyle w:val="Heading1"/>
        <w:spacing w:after="160" w:before="320"/>
      </w:pPr>
      <w:r>
        <w:t xml:space="preserve">11. Risk Analysis</w:t>
      </w:r>
    </w:p>
    <w:p>
      <w:pPr>
        <w:spacing w:after="160"/>
      </w:pPr>
      <w:r>
        <w:t xml:space="preserve">The Risk Score (0–100, higher = riskier) blends competitive intensity, cost exposure, and demand/growth uncertainty:</w:t>
      </w:r>
    </w:p>
    <w:p>
      <w:pPr>
        <w:spacing w:after="160"/>
      </w:pPr>
      <w:r>
        <w:rPr>
          <w:i/>
          <w:iCs/>
        </w:rPr>
        <w:t xml:space="preserve">Risk Score = (Competition Score × 0.35) + ((100 − Low Cost Score) × 0.25) + ((100 − Demand Score) × 0.25) + ((100 − Growth Score) × 0.15)</w:t>
      </w:r>
    </w:p>
    <w:p>
      <w:pPr>
        <w:spacing w:after="160"/>
      </w:pPr>
      <w:r>
        <w:t xml:space="preserve">Risk levels: Low Risk (&lt;46), Medium Risk (46–55.9), High Risk (≥56). The final recommendation combines both scores rather than ranking on opportunity alone: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F4E78" w:val="clear"/>
          </w:tcPr>
          <w:p>
            <w:r>
              <w:rPr>
                <w:b/>
                <w:bCs/>
                <w:color w:val="FFFFFF"/>
                <w:sz w:val="18"/>
                <w:szCs w:val="18"/>
              </w:rPr>
              <w:t xml:space="preserve">Condition</w:t>
            </w:r>
          </w:p>
        </w:tc>
        <w:tc>
          <w:tcPr>
            <w:tcW w:type="dxa" w:w="3500"/>
            <w:shd w:fill="1F4E78" w:val="clear"/>
          </w:tcPr>
          <w:p>
            <w:r>
              <w:rPr>
                <w:b/>
                <w:bCs/>
                <w:color w:val="FFFFFF"/>
                <w:sz w:val="18"/>
                <w:szCs w:val="18"/>
              </w:rPr>
              <w:t xml:space="preserve">Recommendation</w:t>
            </w:r>
          </w:p>
        </w:tc>
      </w:tr>
      <w:tr>
        <w:tc>
          <w:tcPr>
            <w:tcW w:type="dxa" w:w="5500"/>
          </w:tcPr>
          <w:p>
            <w:r>
              <w:rPr>
                <w:b w:val="false"/>
                <w:bCs w:val="false"/>
                <w:sz w:val="18"/>
                <w:szCs w:val="18"/>
              </w:rPr>
              <w:t xml:space="preserve">Opportunity ≥ 60 AND Risk &lt; 48</w:t>
            </w:r>
          </w:p>
        </w:tc>
        <w:tc>
          <w:tcPr>
            <w:tcW w:type="dxa" w:w="3500"/>
          </w:tcPr>
          <w:p>
            <w:r>
              <w:rPr>
                <w:b w:val="false"/>
                <w:bCs w:val="false"/>
                <w:sz w:val="18"/>
                <w:szCs w:val="18"/>
              </w:rPr>
              <w:t xml:space="preserve">Recommended</w:t>
            </w:r>
          </w:p>
        </w:tc>
      </w:tr>
      <w:tr>
        <w:tc>
          <w:tcPr>
            <w:tcW w:type="dxa" w:w="5500"/>
          </w:tcPr>
          <w:p>
            <w:r>
              <w:rPr>
                <w:b w:val="false"/>
                <w:bCs w:val="false"/>
                <w:sz w:val="18"/>
                <w:szCs w:val="18"/>
              </w:rPr>
              <w:t xml:space="preserve">Opportunity ≥ 60 AND Risk ≥ 48</w:t>
            </w:r>
          </w:p>
        </w:tc>
        <w:tc>
          <w:tcPr>
            <w:tcW w:type="dxa" w:w="3500"/>
          </w:tcPr>
          <w:p>
            <w:r>
              <w:rPr>
                <w:b w:val="false"/>
                <w:bCs w:val="false"/>
                <w:sz w:val="18"/>
                <w:szCs w:val="18"/>
              </w:rPr>
              <w:t xml:space="preserve">Consider</w:t>
            </w:r>
          </w:p>
        </w:tc>
      </w:tr>
      <w:tr>
        <w:tc>
          <w:tcPr>
            <w:tcW w:type="dxa" w:w="5500"/>
          </w:tcPr>
          <w:p>
            <w:r>
              <w:rPr>
                <w:b w:val="false"/>
                <w:bCs w:val="false"/>
                <w:sz w:val="18"/>
                <w:szCs w:val="18"/>
              </w:rPr>
              <w:t xml:space="preserve">Opportunity ≥ 48 (below 60)</w:t>
            </w:r>
          </w:p>
        </w:tc>
        <w:tc>
          <w:tcPr>
            <w:tcW w:type="dxa" w:w="3500"/>
          </w:tcPr>
          <w:p>
            <w:r>
              <w:rPr>
                <w:b w:val="false"/>
                <w:bCs w:val="false"/>
                <w:sz w:val="18"/>
                <w:szCs w:val="18"/>
              </w:rPr>
              <w:t xml:space="preserve">Review</w:t>
            </w:r>
          </w:p>
        </w:tc>
      </w:tr>
      <w:tr>
        <w:tc>
          <w:tcPr>
            <w:tcW w:type="dxa" w:w="5500"/>
          </w:tcPr>
          <w:p>
            <w:r>
              <w:rPr>
                <w:b w:val="false"/>
                <w:bCs w:val="false"/>
                <w:sz w:val="18"/>
                <w:szCs w:val="18"/>
              </w:rPr>
              <w:t xml:space="preserve">Opportunity &lt; 48</w:t>
            </w:r>
          </w:p>
        </w:tc>
        <w:tc>
          <w:tcPr>
            <w:tcW w:type="dxa" w:w="3500"/>
          </w:tcPr>
          <w:p>
            <w:r>
              <w:rPr>
                <w:b w:val="false"/>
                <w:bCs w:val="false"/>
                <w:sz w:val="18"/>
                <w:szCs w:val="18"/>
              </w:rPr>
              <w:t xml:space="preserve">Avoid</w:t>
            </w:r>
          </w:p>
        </w:tc>
      </w:tr>
    </w:tbl>
    <w:p>
      <w:pPr>
        <w:spacing w:after="160"/>
      </w:pPr>
      <w:r>
        <w:t xml:space="preserve">This is why several large, high-demand metros (Delhi, Chennai, Bengaluru, Mumbai) land in “Consider” rather than “Recommended” — their opportunity score is strong, but high operating cost and dense competition push their risk score above the 48 cutoff.</w:t>
      </w:r>
    </w:p>
    <w:p>
      <w:pPr>
        <w:pStyle w:val="Heading1"/>
        <w:spacing w:after="160" w:before="320"/>
      </w:pPr>
      <w:r>
        <w:t xml:space="preserve">12. Strategy Simulator</w:t>
      </w:r>
    </w:p>
    <w:p>
      <w:pPr>
        <w:spacing w:after="160"/>
      </w:pPr>
      <w:r>
        <w:t xml:space="preserve">The most differentiated part of the Power BI dashboard: five independent What-If Parameters let management re-weight Demand, Growth, Revenue, Competition, and Cost, and every visual on Page 3 (ranking, KPI cards, recommended-markets table) recomputes live. Three scenarios are pre-built as bookmarks: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400"/>
        <w:gridCol w:w="1000"/>
      </w:tblGrid>
      <w:tr>
        <w:tc>
          <w:tcPr>
            <w:tcW w:type="dxa" w:w="3000"/>
            <w:shd w:fill="1F4E78" w:val="clear"/>
          </w:tcPr>
          <w:p>
            <w:r>
              <w:rPr>
                <w:b/>
                <w:bCs/>
                <w:color w:val="FFFFFF"/>
                <w:sz w:val="18"/>
                <w:szCs w:val="18"/>
              </w:rPr>
              <w:t xml:space="preserve">Scenario</w:t>
            </w:r>
          </w:p>
        </w:tc>
        <w:tc>
          <w:tcPr>
            <w:tcW w:type="dxa" w:w="1200"/>
            <w:shd w:fill="1F4E78" w:val="clear"/>
          </w:tcPr>
          <w:p>
            <w:r>
              <w:rPr>
                <w:b/>
                <w:bCs/>
                <w:color w:val="FFFFFF"/>
                <w:sz w:val="18"/>
                <w:szCs w:val="18"/>
              </w:rPr>
              <w:t xml:space="preserve">Demand</w:t>
            </w:r>
          </w:p>
        </w:tc>
        <w:tc>
          <w:tcPr>
            <w:tcW w:type="dxa" w:w="1200"/>
            <w:shd w:fill="1F4E78" w:val="clear"/>
          </w:tcPr>
          <w:p>
            <w:r>
              <w:rPr>
                <w:b/>
                <w:bCs/>
                <w:color w:val="FFFFFF"/>
                <w:sz w:val="18"/>
                <w:szCs w:val="18"/>
              </w:rPr>
              <w:t xml:space="preserve">Growth</w:t>
            </w:r>
          </w:p>
        </w:tc>
        <w:tc>
          <w:tcPr>
            <w:tcW w:type="dxa" w:w="1200"/>
            <w:shd w:fill="1F4E78" w:val="clear"/>
          </w:tcPr>
          <w:p>
            <w:r>
              <w:rPr>
                <w:b/>
                <w:bCs/>
                <w:color w:val="FFFFFF"/>
                <w:sz w:val="18"/>
                <w:szCs w:val="18"/>
              </w:rPr>
              <w:t xml:space="preserve">Revenue</w:t>
            </w:r>
          </w:p>
        </w:tc>
        <w:tc>
          <w:tcPr>
            <w:tcW w:type="dxa" w:w="1400"/>
            <w:shd w:fill="1F4E78" w:val="clear"/>
          </w:tcPr>
          <w:p>
            <w:r>
              <w:rPr>
                <w:b/>
                <w:bCs/>
                <w:color w:val="FFFFFF"/>
                <w:sz w:val="18"/>
                <w:szCs w:val="18"/>
              </w:rPr>
              <w:t xml:space="preserve">Competition</w:t>
            </w:r>
          </w:p>
        </w:tc>
        <w:tc>
          <w:tcPr>
            <w:tcW w:type="dxa" w:w="1000"/>
            <w:shd w:fill="1F4E78" w:val="clear"/>
          </w:tcPr>
          <w:p>
            <w:r>
              <w:rPr>
                <w:b/>
                <w:bCs/>
                <w:color w:val="FFFFFF"/>
                <w:sz w:val="18"/>
                <w:szCs w:val="18"/>
              </w:rPr>
              <w:t xml:space="preserve">Cost</w:t>
            </w:r>
          </w:p>
        </w:tc>
      </w:tr>
      <w:tr>
        <w:tc>
          <w:tcPr>
            <w:tcW w:type="dxa" w:w="3000"/>
          </w:tcPr>
          <w:p>
            <w:r>
              <w:rPr>
                <w:b w:val="false"/>
                <w:bCs w:val="false"/>
                <w:sz w:val="18"/>
                <w:szCs w:val="18"/>
              </w:rPr>
              <w:t xml:space="preserve">Balanced Expansion (default)</w:t>
            </w:r>
          </w:p>
        </w:tc>
        <w:tc>
          <w:tcPr>
            <w:tcW w:type="dxa" w:w="1200"/>
          </w:tcPr>
          <w:p>
            <w:r>
              <w:rPr>
                <w:b w:val="false"/>
                <w:bCs w:val="false"/>
                <w:sz w:val="18"/>
                <w:szCs w:val="18"/>
              </w:rPr>
              <w:t xml:space="preserve">30%</w:t>
            </w:r>
          </w:p>
        </w:tc>
        <w:tc>
          <w:tcPr>
            <w:tcW w:type="dxa" w:w="1200"/>
          </w:tcPr>
          <w:p>
            <w:r>
              <w:rPr>
                <w:b w:val="false"/>
                <w:bCs w:val="false"/>
                <w:sz w:val="18"/>
                <w:szCs w:val="18"/>
              </w:rPr>
              <w:t xml:space="preserve">20%</w:t>
            </w:r>
          </w:p>
        </w:tc>
        <w:tc>
          <w:tcPr>
            <w:tcW w:type="dxa" w:w="1200"/>
          </w:tcPr>
          <w:p>
            <w:r>
              <w:rPr>
                <w:b w:val="false"/>
                <w:bCs w:val="false"/>
                <w:sz w:val="18"/>
                <w:szCs w:val="18"/>
              </w:rPr>
              <w:t xml:space="preserve">25%</w:t>
            </w:r>
          </w:p>
        </w:tc>
        <w:tc>
          <w:tcPr>
            <w:tcW w:type="dxa" w:w="1400"/>
          </w:tcPr>
          <w:p>
            <w:r>
              <w:rPr>
                <w:b w:val="false"/>
                <w:bCs w:val="false"/>
                <w:sz w:val="18"/>
                <w:szCs w:val="18"/>
              </w:rPr>
              <w:t xml:space="preserve">15%</w:t>
            </w:r>
          </w:p>
        </w:tc>
        <w:tc>
          <w:tcPr>
            <w:tcW w:type="dxa" w:w="1000"/>
          </w:tcPr>
          <w:p>
            <w:r>
              <w:rPr>
                <w:b w:val="false"/>
                <w:bCs w:val="false"/>
                <w:sz w:val="18"/>
                <w:szCs w:val="18"/>
              </w:rPr>
              <w:t xml:space="preserve">10%</w:t>
            </w:r>
          </w:p>
        </w:tc>
      </w:tr>
      <w:tr>
        <w:tc>
          <w:tcPr>
            <w:tcW w:type="dxa" w:w="3000"/>
          </w:tcPr>
          <w:p>
            <w:r>
              <w:rPr>
                <w:b w:val="false"/>
                <w:bCs w:val="false"/>
                <w:sz w:val="18"/>
                <w:szCs w:val="18"/>
              </w:rPr>
              <w:t xml:space="preserve">Aggressive Growth</w:t>
            </w:r>
          </w:p>
        </w:tc>
        <w:tc>
          <w:tcPr>
            <w:tcW w:type="dxa" w:w="1200"/>
          </w:tcPr>
          <w:p>
            <w:r>
              <w:rPr>
                <w:b w:val="false"/>
                <w:bCs w:val="false"/>
                <w:sz w:val="18"/>
                <w:szCs w:val="18"/>
              </w:rPr>
              <w:t xml:space="preserve">30%</w:t>
            </w:r>
          </w:p>
        </w:tc>
        <w:tc>
          <w:tcPr>
            <w:tcW w:type="dxa" w:w="1200"/>
          </w:tcPr>
          <w:p>
            <w:r>
              <w:rPr>
                <w:b w:val="false"/>
                <w:bCs w:val="false"/>
                <w:sz w:val="18"/>
                <w:szCs w:val="18"/>
              </w:rPr>
              <w:t xml:space="preserve">35%</w:t>
            </w:r>
          </w:p>
        </w:tc>
        <w:tc>
          <w:tcPr>
            <w:tcW w:type="dxa" w:w="1200"/>
          </w:tcPr>
          <w:p>
            <w:r>
              <w:rPr>
                <w:b w:val="false"/>
                <w:bCs w:val="false"/>
                <w:sz w:val="18"/>
                <w:szCs w:val="18"/>
              </w:rPr>
              <w:t xml:space="preserve">30%</w:t>
            </w:r>
          </w:p>
        </w:tc>
        <w:tc>
          <w:tcPr>
            <w:tcW w:type="dxa" w:w="1400"/>
          </w:tcPr>
          <w:p>
            <w:r>
              <w:rPr>
                <w:b w:val="false"/>
                <w:bCs w:val="false"/>
                <w:sz w:val="18"/>
                <w:szCs w:val="18"/>
              </w:rPr>
              <w:t xml:space="preserve">3%</w:t>
            </w:r>
          </w:p>
        </w:tc>
        <w:tc>
          <w:tcPr>
            <w:tcW w:type="dxa" w:w="1000"/>
          </w:tcPr>
          <w:p>
            <w:r>
              <w:rPr>
                <w:b w:val="false"/>
                <w:bCs w:val="false"/>
                <w:sz w:val="18"/>
                <w:szCs w:val="18"/>
              </w:rPr>
              <w:t xml:space="preserve">2%</w:t>
            </w:r>
          </w:p>
        </w:tc>
      </w:tr>
      <w:tr>
        <w:tc>
          <w:tcPr>
            <w:tcW w:type="dxa" w:w="3000"/>
          </w:tcPr>
          <w:p>
            <w:r>
              <w:rPr>
                <w:b w:val="false"/>
                <w:bCs w:val="false"/>
                <w:sz w:val="18"/>
                <w:szCs w:val="18"/>
              </w:rPr>
              <w:t xml:space="preserve">Cost-Conscious Expansion</w:t>
            </w:r>
          </w:p>
        </w:tc>
        <w:tc>
          <w:tcPr>
            <w:tcW w:type="dxa" w:w="1200"/>
          </w:tcPr>
          <w:p>
            <w:r>
              <w:rPr>
                <w:b w:val="false"/>
                <w:bCs w:val="false"/>
                <w:sz w:val="18"/>
                <w:szCs w:val="18"/>
              </w:rPr>
              <w:t xml:space="preserve">20%</w:t>
            </w:r>
          </w:p>
        </w:tc>
        <w:tc>
          <w:tcPr>
            <w:tcW w:type="dxa" w:w="1200"/>
          </w:tcPr>
          <w:p>
            <w:r>
              <w:rPr>
                <w:b w:val="false"/>
                <w:bCs w:val="false"/>
                <w:sz w:val="18"/>
                <w:szCs w:val="18"/>
              </w:rPr>
              <w:t xml:space="preserve">10%</w:t>
            </w:r>
          </w:p>
        </w:tc>
        <w:tc>
          <w:tcPr>
            <w:tcW w:type="dxa" w:w="1200"/>
          </w:tcPr>
          <w:p>
            <w:r>
              <w:rPr>
                <w:b w:val="false"/>
                <w:bCs w:val="false"/>
                <w:sz w:val="18"/>
                <w:szCs w:val="18"/>
              </w:rPr>
              <w:t xml:space="preserve">10%</w:t>
            </w:r>
          </w:p>
        </w:tc>
        <w:tc>
          <w:tcPr>
            <w:tcW w:type="dxa" w:w="1400"/>
          </w:tcPr>
          <w:p>
            <w:r>
              <w:rPr>
                <w:b w:val="false"/>
                <w:bCs w:val="false"/>
                <w:sz w:val="18"/>
                <w:szCs w:val="18"/>
              </w:rPr>
              <w:t xml:space="preserve">25%</w:t>
            </w:r>
          </w:p>
        </w:tc>
        <w:tc>
          <w:tcPr>
            <w:tcW w:type="dxa" w:w="1000"/>
          </w:tcPr>
          <w:p>
            <w:r>
              <w:rPr>
                <w:b w:val="false"/>
                <w:bCs w:val="false"/>
                <w:sz w:val="18"/>
                <w:szCs w:val="18"/>
              </w:rPr>
              <w:t xml:space="preserve">35%</w:t>
            </w:r>
          </w:p>
        </w:tc>
      </w:tr>
    </w:tbl>
    <w:p>
      <w:pPr>
        <w:spacing w:after="160"/>
      </w:pPr>
      <w:r>
        <w:t xml:space="preserve">In the demo: Aggressive Growth tends to pull larger, faster-scaling Tier-1 metros further up the ranking (their absolute revenue and growth dominate once cost/competition barely count); Cost-Conscious Expansion favors lower-cost Tier-2 cities such as Nashik, Nagpur, Raipur, and Vadodara, whose operating costs sit well below the Tier-1 average.</w:t>
      </w:r>
    </w:p>
    <w:p>
      <w:pPr>
        <w:pStyle w:val="Heading1"/>
        <w:spacing w:after="160" w:before="320"/>
      </w:pPr>
      <w:r>
        <w:t xml:space="preserve">13. Key Findings</w:t>
      </w:r>
    </w:p>
    <w:p>
      <w:pPr>
        <w:spacing w:after="160"/>
      </w:pPr>
      <w:r>
        <w:t xml:space="preserve">Findings below are pulled directly from the generated dataset (not predetermined):</w:t>
      </w:r>
    </w:p>
    <w:p>
      <w:pPr>
        <w:pStyle w:val="ListParagraph"/>
        <w:numPr>
          <w:ilvl w:val="0"/>
          <w:numId w:val="1"/>
        </w:numPr>
        <w:spacing w:after="80"/>
      </w:pPr>
      <w:r>
        <w:t xml:space="preserve">Under the balanced weighting, Hyderabad (Opportunity 68.4) and Surat (64.4) are the only two markets that clear both the opportunity and risk bar to be “Recommended.”</w:t>
      </w:r>
    </w:p>
    <w:p>
      <w:pPr>
        <w:pStyle w:val="ListParagraph"/>
        <w:numPr>
          <w:ilvl w:val="0"/>
          <w:numId w:val="1"/>
        </w:numPr>
        <w:spacing w:after="80"/>
      </w:pPr>
      <w:r>
        <w:t xml:space="preserve">Delhi, Chennai, Bengaluru, and Mumbai all post opportunity scores above 60 but fall into “Consider” — their revenue and demand fundamentals are excellent, but cost and competition raise their risk above the Recommended threshold.</w:t>
      </w:r>
    </w:p>
    <w:p>
      <w:pPr>
        <w:pStyle w:val="ListParagraph"/>
        <w:numPr>
          <w:ilvl w:val="0"/>
          <w:numId w:val="1"/>
        </w:numPr>
        <w:spacing w:after="80"/>
      </w:pPr>
      <w:r>
        <w:t xml:space="preserve">Mumbai leads on both total revenue (₹32.4 Cr) and total profit (₹10.8 Cr) over the 3-year history, followed by Delhi and Bengaluru — but Mumbai also carries the highest risk score (58.2) of the top 10 opportunity markets, illustrating the classic “high revenue potential, high risk” expansion trade-off.</w:t>
      </w:r>
    </w:p>
    <w:p>
      <w:pPr>
        <w:pStyle w:val="ListParagraph"/>
        <w:numPr>
          <w:ilvl w:val="0"/>
          <w:numId w:val="1"/>
        </w:numPr>
        <w:spacing w:after="80"/>
      </w:pPr>
      <w:r>
        <w:t xml:space="preserve">Delhi has the highest estimated annual operating cost in the dataset (₹66.7 L), while Bhubaneswar, Siliguri, and Raipur have the lowest (under ₹17.7 L) — a roughly 4x cost spread between the most and least expensive markets to enter.</w:t>
      </w:r>
    </w:p>
    <w:p>
      <w:pPr>
        <w:pStyle w:val="ListParagraph"/>
        <w:numPr>
          <w:ilvl w:val="0"/>
          <w:numId w:val="1"/>
        </w:numPr>
        <w:spacing w:after="80"/>
      </w:pPr>
      <w:r>
        <w:t xml:space="preserve">Visakhapatnam and Thiruvananthapuram stand out as Tier-2 “hidden gem” markets: demand scores in the low-to-mid 60s against comparatively low average competition scores (48.4 and 50.2), with double-digit growth rates — the profile the brief specifically asked the analysis to surface.</w:t>
      </w:r>
    </w:p>
    <w:p>
      <w:pPr>
        <w:pStyle w:val="ListParagraph"/>
        <w:numPr>
          <w:ilvl w:val="0"/>
          <w:numId w:val="1"/>
        </w:numPr>
        <w:spacing w:after="80"/>
      </w:pPr>
      <w:r>
        <w:t xml:space="preserve">The West and South regions post the strongest average demand scores (69.1 and 65.3) and above-average growth, while the Central and East regions trail on both demand and revenue potential — useful for prioritizing which regions to scout first.</w:t>
      </w:r>
    </w:p>
    <w:p>
      <w:pPr>
        <w:pStyle w:val="ListParagraph"/>
        <w:numPr>
          <w:ilvl w:val="0"/>
          <w:numId w:val="1"/>
        </w:numPr>
        <w:spacing w:after="80"/>
      </w:pPr>
      <w:r>
        <w:t xml:space="preserve">Across customer segments, Enterprise buyers show by far the highest average purchase potential (≈₹6.9 L) versus Small Business (≈₹58K) and Startup (≈₹77K) — markets with strong Enterprise segment scores may justify a higher entry cost.</w:t>
      </w:r>
    </w:p>
    <w:p>
      <w:pPr>
        <w:pStyle w:val="Heading1"/>
        <w:spacing w:after="160" w:before="320"/>
      </w:pPr>
      <w:r>
        <w:t xml:space="preserve">14. Business Recommendations</w:t>
      </w:r>
    </w:p>
    <w:p>
      <w:pPr>
        <w:pStyle w:val="ListParagraph"/>
        <w:numPr>
          <w:ilvl w:val="0"/>
          <w:numId w:val="1"/>
        </w:numPr>
        <w:spacing w:after="80"/>
      </w:pPr>
      <w:r>
        <w:t xml:space="preserve">Prioritize Hyderabad and Surat as the lead candidates for the next phase of expansion — both clear the Recommended bar under the balanced strategy and combine strong demand with manageable risk.</w:t>
      </w:r>
    </w:p>
    <w:p>
      <w:pPr>
        <w:pStyle w:val="ListParagraph"/>
        <w:numPr>
          <w:ilvl w:val="0"/>
          <w:numId w:val="1"/>
        </w:numPr>
        <w:spacing w:after="80"/>
      </w:pPr>
      <w:r>
        <w:t xml:space="preserve">Treat Delhi, Chennai, Bengaluru, and Mumbai as “phase 2” candidates: strong opportunity, but consider a phased entry (smaller initial footprint, renegotiated lease terms, or a partnership model) to manage the higher cost and competitive exposure before committing full capital.</w:t>
      </w:r>
    </w:p>
    <w:p>
      <w:pPr>
        <w:pStyle w:val="ListParagraph"/>
        <w:numPr>
          <w:ilvl w:val="0"/>
          <w:numId w:val="1"/>
        </w:numPr>
        <w:spacing w:after="80"/>
      </w:pPr>
      <w:r>
        <w:t xml:space="preserve">Add Visakhapatnam and Thiruvananthapuram to the Tier-2 watch list — their demand-to-competition ratio and growth rate make them attractive lower-risk, lower-cost alternatives to a Tier-1 launch.</w:t>
      </w:r>
    </w:p>
    <w:p>
      <w:pPr>
        <w:pStyle w:val="ListParagraph"/>
        <w:numPr>
          <w:ilvl w:val="0"/>
          <w:numId w:val="1"/>
        </w:numPr>
        <w:spacing w:after="80"/>
      </w:pPr>
      <w:r>
        <w:t xml:space="preserve">Avoid front-loading investment in the lowest-ranked markets (Jabalpur, Siliguri, Guwahati, Gwalior) until their demand or growth profile improves — current opportunity scores fall in the Low Priority band.</w:t>
      </w:r>
    </w:p>
    <w:p>
      <w:pPr>
        <w:pStyle w:val="ListParagraph"/>
        <w:numPr>
          <w:ilvl w:val="0"/>
          <w:numId w:val="1"/>
        </w:numPr>
        <w:spacing w:after="80"/>
      </w:pPr>
      <w:r>
        <w:t xml:space="preserve">Weight the Enterprise customer segment more heavily in city selection where a market's Enterprise Demand Score is strong — it carries roughly 3–12x the purchase potential of the other three segments.</w:t>
      </w:r>
    </w:p>
    <w:p>
      <w:pPr>
        <w:pStyle w:val="ListParagraph"/>
        <w:numPr>
          <w:ilvl w:val="0"/>
          <w:numId w:val="1"/>
        </w:numPr>
        <w:spacing w:after="80"/>
      </w:pPr>
      <w:r>
        <w:t xml:space="preserve">Use the Strategy Simulator with the management team directly: run the Aggressive Growth and Cost-Conscious scenarios live in the review meeting so the choice of strategy — not just the data — is made explicit before capital is committed.</w:t>
      </w:r>
    </w:p>
    <w:p>
      <w:pPr>
        <w:pStyle w:val="Heading1"/>
        <w:spacing w:after="160" w:before="320"/>
      </w:pPr>
      <w:r>
        <w:t xml:space="preserve">15. Conclusion</w:t>
      </w:r>
    </w:p>
    <w:p>
      <w:pPr>
        <w:spacing w:after="160"/>
      </w:pPr>
      <w:r>
        <w:t xml:space="preserve">This project demonstrates a complete, reproducible expansion-analytics workflow — from raw, intentionally imperfect source data through SQL cleaning and analysis, a fully formula-driven Excel model, and an interactive Power BI dashboard with a live strategy simulator — all built on one consistent Market Opportunity Score methodology. The central management question (“based on demand, growth, competition, cost, revenue potential, and risk, where should we expand next?”) has a direct, data-backed answer, and that answer visibly changes as strategic priorities change — which is the point of building a simulator instead of a static ranking.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2026-08-13T04:00:35.481Z</dcterms:created>
  <dcterms:modified xsi:type="dcterms:W3CDTF">2026-08-13T04:00:35.494Z</dcterms:modified>
</cp:coreProperties>
</file>

<file path=docProps/custom.xml><?xml version="1.0" encoding="utf-8"?>
<Properties xmlns="http://schemas.openxmlformats.org/officeDocument/2006/custom-properties" xmlns:vt="http://schemas.openxmlformats.org/officeDocument/2006/docPropsVTypes"/>
</file>