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RESIDENTIAL TENANCY AGREEMENT</w:t>
      </w:r>
    </w:p>
    <w:p>
      <w:r>
        <w:t>Between KAPIL MEHROTRA (Landlord / First Party) and .B.Kishore (Tenant / Second Party).</w:t>
      </w:r>
    </w:p>
    <w:p>
      <w:r>
        <w:t>Monthly rent: Rs. 15000.</w:t>
      </w:r>
    </w:p>
    <w:p>
      <w:r>
        <w:t>Period: 07.07.2013 to 06.06.2014.</w:t>
      </w:r>
    </w:p>
    <w:p>
      <w:r>
        <w:t>Renewal Notice: 30 days written notice.</w:t>
      </w:r>
    </w:p>
  </w:body>
</w:document>
</file>