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Risk Assessment and the Fairness–Accuracy Trade-off: A Comprehensive AI Governance Audit of COMPAS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Research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algorithmic decision-support systems within high-stakes public sector domains has generated fundamental debates regarding bias, accountability, and mathematical fairness. Central to this discourse is the Correctional Offender Management Profiling for Alternative Sanctions (COMPAS), a proprietary risk-assessment tool developed by Northpointe (now Equivant)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Designed to predict a criminal defendant's likelihood of reoffending, COMPAS became the focal point of an international debate in May 2016 when investigative newsroom ProPublica published an audit asserting that the algorithm exhibited systematic racial bias against Black defendants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ProPublica’s investigation demonstrated that Black non-recidivists were misclassified as higher risk at nearly twice the rate of White non-recidivists (a False Positive Rate of 44.9% versus 23.5%), whereas White recidivists were misclassified as low risk at nearly twice the rate of Black recidivists (a False Negative Rate of 47.7% versus 28.0%)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Northpointe and independent criminologists countered that COMPAS achieved predictive parity and accuracy equity, meaning that a given risk score carried the same positive predictive value (PPV)—approximately 60–63%—regardless of a defendant’s race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Subsequent academic research resolved this apparent contradiction through mathematical proof. Computer scientists Jon Kleinberg, Sendhil Mullainathan, and Manish Raghavan, alongside biostatistician Alexandra Chouldechova, independently proved that when base rates of a target variable differ across demographic groups, it is mathematically impossible for any risk assessment instrument to simultaneously satisfy predictive parity (equal PPV across groups) and equalized odds (equal false positive and false negative rates across groups), unless the predictor achieves perfect accuracy (an Area Under the Receiver Operating Characteristic Curve, or AUC, of 1.0)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case study provides essential governance lessons for artificial intelligence and machine learning deployment. Fairness is not a singular mathematical metric but a set of mutually exclusive statistical criteria that require policy-level trade-offs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Blind reliance on proxy variables, such as socio-economic factors and criminal history, can perpetuate historical societal disparities even when protected attributes like race are excluded from model training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proprietary black-box models present severe legal and procedural challenges to due process, as highlighted by the Wisconsin Supreme Court in </w:t>
      </w:r>
      <w:r w:rsidDel="00000000" w:rsidR="00000000" w:rsidRPr="00000000">
        <w:rPr>
          <w:rFonts w:ascii="Google Sans" w:cs="Google Sans" w:eastAsia="Google Sans" w:hAnsi="Google Sans"/>
          <w:i w:val="1"/>
          <w:iCs w:val="1"/>
          <w:color w:val="1f1f1f"/>
          <w:rtl w:val="0"/>
        </w:rPr>
        <w:t xml:space="preserve">State v. Loomis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methodological errors in secondary audits—such as sample selection cutoffs—can skew empirical conclusions, highlighting the need for standardized auditing protocols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Operational Context, and Public Knowledge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COMPAS is a proprietary actuarial risk and needs assessment tool developed by Northpointe (renamed Equivant in 2017) to assist corrections, probation, and judicial officers in evaluating criminal defendants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 was originally designed to predict an offender's likelihood of general recidivism (rearrest for any new misdemeanor or felony) and violent recidivism (rearrest for a violent offense) within a two-year follow-up period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Over time, its operational application expanded from institutional classification and post-conviction supervision to high-stakes decision points, including pretrial bail determinations and presentence investigation reports (PSIs) provided to sentencing judges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inputs of COMPAS rely on a 137-item questionnaire administered to defendants, augmented by administrative criminal history records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instrument evaluates both static factors (e.g., historical arrest frequency, age at first arrest) and dynamic risk factors (e.g., educational performance, employment status, drug history, social network criminality, and psychometric measures assessing criminogenic attitudes)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explicitly excludes race, skin color, and nationality from its scoring calculations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many non-racial features act as statistical proxies for race due to systemic socio-economic inequalities and historical disparities in law enforcement activity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Publicly available knowledge regarding the internal mechanics of COMPAS remains limited due to trade secret protections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Northpointe has kept the exact mathematical formula, feature weights, and underlying scoring algorithms proprietary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What is known publicly is that raw risk scores are computed and transformed into a decile score ranging from 1 to 10 based on a national normative sample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practice, jurisdictions collapse these decile scores into three ordinal categories: Low Risk (deciles 1–4), Medium Risk (deciles 5–7), and High Risk (deciles 8–10)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Chronology of the COMPAS Controversy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debate surrounding COMPAS unfolded across multiple legal rulings, investigative reports, industry rebuttals, and mathematical breakthroughs.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 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Event / Milestone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&amp; Policy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Northpointe 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COMPAS software is commercialized for institutional corrections and probation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Actuarial tools enter mainstream criminal justice workflows without standardized regulatory oversight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2013–2014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Broward County Sheriff's Office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Deploys COMPAS for pretrial screening, generating a large public dataset of defendant scores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deployment creates the raw empirical record for subsequent public audits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May 23,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ProPublica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Publishes "Machine Bias," alleging systemic racial disparity in false positive and false negative rates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Ignites public debate on algorithmic discrimination and automated risk tools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July 8,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Northpointe (Dieterich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Releases technical response titled "COMPAS Risk Scales: Demonstrating Accuracy Equity and Predictive Parity"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that COMPAS achieves predictive parity and equal calibration across racial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July 13,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Wisconsin Supreme Court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Issues decision in </w:t>
            </w:r>
            <w:r w:rsidDel="00000000" w:rsidR="00000000" w:rsidRPr="00000000">
              <w:rPr>
                <w:rFonts w:ascii="Google Sans" w:cs="Google Sans" w:eastAsia="Google Sans" w:hAnsi="Google Sans"/>
                <w:i w:val="1"/>
                <w:iCs w:val="1"/>
                <w:color w:val="1f1f1f"/>
                <w:rtl w:val="0"/>
              </w:rPr>
              <w:t xml:space="preserve">State v. Loomis</w:t>
            </w:r>
            <w:r w:rsidDel="00000000" w:rsidR="00000000" w:rsidRPr="00000000">
              <w:rPr>
                <w:rFonts w:ascii="Google Sans" w:cs="Google Sans" w:eastAsia="Google Sans" w:hAnsi="Google Sans"/>
                <w:color w:val="1f1f1f"/>
                <w:rtl w:val="0"/>
              </w:rPr>
              <w:t xml:space="preserve"> (881 N.W.2d 749), upholding COMPAS use in sentencing subject to warnings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procedural due process standards and judicial warnings for proprietary risk tools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October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Researchers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Alexandra Chouldechova, Jon Kleinberg et al. release independent impossibility proofs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mathematically that conflicting fairness metrics cannot co-exist under unequal base rates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January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Dressel &amp; Farid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Publishes study in </w:t>
            </w:r>
            <w:r w:rsidDel="00000000" w:rsidR="00000000" w:rsidRPr="00000000">
              <w:rPr>
                <w:rFonts w:ascii="Google Sans" w:cs="Google Sans" w:eastAsia="Google Sans" w:hAnsi="Google Sans"/>
                <w:i w:val="1"/>
                <w:iCs w:val="1"/>
                <w:color w:val="1f1f1f"/>
                <w:rtl w:val="0"/>
              </w:rPr>
              <w:t xml:space="preserve">Science Advances</w:t>
            </w:r>
            <w:r w:rsidDel="00000000" w:rsidR="00000000" w:rsidRPr="00000000">
              <w:rPr>
                <w:rFonts w:ascii="Google Sans" w:cs="Google Sans" w:eastAsia="Google Sans" w:hAnsi="Google Sans"/>
                <w:color w:val="1f1f1f"/>
                <w:rtl w:val="0"/>
              </w:rPr>
              <w:t xml:space="preserve"> showing non-experts perform comparably to COMPAS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Challenges assertions that proprietary algorithms offer superior accuracy over simpler models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June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Re-analysis uncovers sample selection bug in ProPublica's two-year recidivism dataset processing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the critical need for standardized data processing and audit validation protocols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chronology illustrates how a localized public records request transformed into a foundational debate in computer science and legal policy. What began as a newsroom audit escalated into a validation of mathematical limits, demonstrating that automated decision tools operating in stratified social environments must navigate structural trade-offs between competing definitions of equality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Investigation: ProPublica’s Methodology, Measurements, and Populations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ProPublica obtained COMPAS risk scores assigned to 18,610 individuals arrested in Broward County, Florida, between January 1, 2013, and December 31, 2014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focus on the pretrial decision context, journalists isolated 11,757 scores assessed at booking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then cross-referenced these records with public criminal filings from the Broward County Clerk's Office through April 1, 2016, matching defendants by name and date of birth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evaluate accuracy over the standard two-year benchmark, ProPublica filtered the sample to include defendants who were either rearrested within two years of release or observed for at least two years without a rearrest, yielding a primary follow-up dataset of approximately 7,214 defendants (comprising 3,696 Black defendants and 3,175 White defendants)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ProPublica evaluated model accuracy by converting the 10-tier decile scale into a binary classification: deciles 1–4 were treated as Low Risk (negative prediction), while deciles 5–10 were categorized as Higher Risk (Medium or High risk, representing a positive prediction of recidivism)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Recidivism was defined as a rearrest for a new offense (felony or misdemeanor) within two years of community release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ProPublica concluded that COMPAS was biased against Black defendants due to marked disparities in error distributions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overall predictive accuracy was roughly similar across demographic groups (63.8% for Black defendants and 67.0% for White defendants in full dataset analyses), the model made mistakes in different ways depending on race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Black defendants who did not reoffend were misclassified as higher risk (False Positives) at a rate of 44.9%, compared to 23.5% for White non-recidivists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White defendants who did reoffend were misclassified as low risk (False Negatives) at a rate of 47.7%, compared to 28.0% for Black recidivists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assess whether these disparities resulted from differences in criminal background or age, ProPublica conducted a logistic regression isolating race while controlling for age, gender, prior criminal record, and actual two-year recidivism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regression indicated that Black defendants were 45% more likely to receive a higher risk score for general recidivism (Odds Ratio of 1.45) and 77% more likely for violent recidivism (Odds Ratio of 1.77) than White defendants with equivalent background features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Definitions of Fairness Metrics and Mathematical Foundations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COMPAS controversy requires clear mathematical definitions of binary classification performance. Given an actual outcome </w:t>
      </w:r>
      <w:r w:rsidDel="00000000" w:rsidR="00000000" w:rsidRPr="00000000">
        <w:rPr>
          <w:rFonts w:ascii="Google Sans" w:cs="Google Sans" w:eastAsia="Google Sans" w:hAnsi="Google Sans"/>
          <w:color w:val="1f1f1f"/>
        </w:rPr>
        <w:drawing>
          <wp:inline distB="19050" distT="19050" distL="19050" distR="19050">
            <wp:extent cx="875943" cy="243741"/>
            <wp:effectExtent b="0" l="0" r="0" t="0"/>
            <wp:docPr id="41"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875943" cy="243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4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recidivism and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4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non-recidivism) and a model prediction </w:t>
      </w:r>
      <w:r w:rsidDel="00000000" w:rsidR="00000000" w:rsidRPr="00000000">
        <w:rPr>
          <w:rFonts w:ascii="Google Sans" w:cs="Google Sans" w:eastAsia="Google Sans" w:hAnsi="Google Sans"/>
          <w:color w:val="1f1f1f"/>
        </w:rPr>
        <w:drawing>
          <wp:inline distB="19050" distT="19050" distL="19050" distR="19050">
            <wp:extent cx="875943" cy="243741"/>
            <wp:effectExtent b="0" l="0" r="0" t="0"/>
            <wp:docPr id="45"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875943" cy="243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4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High/Medium risk score and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4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Low risk score), performance is defined by four core counts: True Positives (</w:t>
      </w:r>
      <w:r w:rsidDel="00000000" w:rsidR="00000000" w:rsidRPr="00000000">
        <w:rPr>
          <w:rFonts w:ascii="Google Sans" w:cs="Google Sans" w:eastAsia="Google Sans" w:hAnsi="Google Sans"/>
          <w:color w:val="1f1f1f"/>
        </w:rPr>
        <w:drawing>
          <wp:inline distB="19050" distT="19050" distL="19050" distR="19050">
            <wp:extent cx="274915" cy="236733"/>
            <wp:effectExtent b="0" l="0" r="0" t="0"/>
            <wp:docPr id="48"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274915" cy="236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False Positives (</w:t>
      </w:r>
      <w:r w:rsidDel="00000000" w:rsidR="00000000" w:rsidRPr="00000000">
        <w:rPr>
          <w:rFonts w:ascii="Google Sans" w:cs="Google Sans" w:eastAsia="Google Sans" w:hAnsi="Google Sans"/>
          <w:color w:val="1f1f1f"/>
        </w:rPr>
        <w:drawing>
          <wp:inline distB="19050" distT="19050" distL="19050" distR="19050">
            <wp:extent cx="261461" cy="245615"/>
            <wp:effectExtent b="0" l="0" r="0" t="0"/>
            <wp:docPr id="54"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261461" cy="245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True Negatives (</w:t>
      </w:r>
      <w:r w:rsidDel="00000000" w:rsidR="00000000" w:rsidRPr="00000000">
        <w:rPr>
          <w:rFonts w:ascii="Google Sans" w:cs="Google Sans" w:eastAsia="Google Sans" w:hAnsi="Google Sans"/>
          <w:color w:val="1f1f1f"/>
        </w:rPr>
        <w:drawing>
          <wp:inline distB="19050" distT="19050" distL="19050" distR="19050">
            <wp:extent cx="288488" cy="241707"/>
            <wp:effectExtent b="0" l="0" r="0" t="0"/>
            <wp:docPr id="52"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288488" cy="241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False Negatives (</w:t>
      </w:r>
      <w:r w:rsidDel="00000000" w:rsidR="00000000" w:rsidRPr="00000000">
        <w:rPr>
          <w:rFonts w:ascii="Google Sans" w:cs="Google Sans" w:eastAsia="Google Sans" w:hAnsi="Google Sans"/>
          <w:color w:val="1f1f1f"/>
        </w:rPr>
        <w:drawing>
          <wp:inline distB="19050" distT="19050" distL="19050" distR="19050">
            <wp:extent cx="274915" cy="236733"/>
            <wp:effectExtent b="0" l="0" r="0" t="0"/>
            <wp:docPr id="59"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274915" cy="236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False Positive Rate (</w:t>
      </w:r>
      <w:r w:rsidDel="00000000" w:rsidR="00000000" w:rsidRPr="00000000">
        <w:rPr>
          <w:rFonts w:ascii="Google Sans" w:cs="Google Sans" w:eastAsia="Google Sans" w:hAnsi="Google Sans"/>
          <w:color w:val="1f1f1f"/>
        </w:rPr>
        <w:drawing>
          <wp:inline distB="19050" distT="19050" distL="19050" distR="19050">
            <wp:extent cx="405646" cy="237265"/>
            <wp:effectExtent b="0" l="0" r="0" t="0"/>
            <wp:docPr id="5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5646" cy="237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probability that a non-recidivating defendant is incorrectly classified as high risk: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57"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False Negative Rate (</w:t>
      </w:r>
      <w:r w:rsidDel="00000000" w:rsidR="00000000" w:rsidRPr="00000000">
        <w:rPr>
          <w:rFonts w:ascii="Google Sans" w:cs="Google Sans" w:eastAsia="Google Sans" w:hAnsi="Google Sans"/>
          <w:color w:val="1f1f1f"/>
        </w:rPr>
        <w:drawing>
          <wp:inline distB="19050" distT="19050" distL="19050" distR="19050">
            <wp:extent cx="419100" cy="236220"/>
            <wp:effectExtent b="0" l="0" r="0" t="0"/>
            <wp:docPr id="60"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4191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probability that a recidivating defendant is incorrectly classified as low risk: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62"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Positive Rate (</w:t>
      </w:r>
      <w:r w:rsidDel="00000000" w:rsidR="00000000" w:rsidRPr="00000000">
        <w:rPr>
          <w:rFonts w:ascii="Google Sans" w:cs="Google Sans" w:eastAsia="Google Sans" w:hAnsi="Google Sans"/>
          <w:color w:val="1f1f1f"/>
        </w:rPr>
        <w:drawing>
          <wp:inline distB="19050" distT="19050" distL="19050" distR="19050">
            <wp:extent cx="419100" cy="236220"/>
            <wp:effectExtent b="0" l="0" r="0" t="0"/>
            <wp:docPr id="6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191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Sensitivity) represents the probability that a recidivating defendant is correctly identified: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66"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Negative Rate (</w:t>
      </w:r>
      <w:r w:rsidDel="00000000" w:rsidR="00000000" w:rsidRPr="00000000">
        <w:rPr>
          <w:rFonts w:ascii="Google Sans" w:cs="Google Sans" w:eastAsia="Google Sans" w:hAnsi="Google Sans"/>
          <w:color w:val="1f1f1f"/>
        </w:rPr>
        <w:drawing>
          <wp:inline distB="19050" distT="19050" distL="19050" distR="19050">
            <wp:extent cx="432673" cy="239515"/>
            <wp:effectExtent b="0" l="0" r="0" t="0"/>
            <wp:docPr id="68"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32673" cy="239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Specificity) represents the probability that a non-recidivating defendant is correctly identified: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69"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Positive Predictive Value (</w:t>
      </w:r>
      <w:r w:rsidDel="00000000" w:rsidR="00000000" w:rsidRPr="00000000">
        <w:rPr>
          <w:rFonts w:ascii="Google Sans" w:cs="Google Sans" w:eastAsia="Google Sans" w:hAnsi="Google Sans"/>
          <w:color w:val="1f1f1f"/>
        </w:rPr>
        <w:drawing>
          <wp:inline distB="19050" distT="19050" distL="19050" distR="19050">
            <wp:extent cx="413861" cy="242070"/>
            <wp:effectExtent b="0" l="0" r="0" t="0"/>
            <wp:docPr id="7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13861" cy="24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Precision) measures the probability that a defendant classified as high risk actually reoffends: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71"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Calibration and Predictive Parity evaluate whether a continuous or decile risk score </w:t>
      </w:r>
      <w:r w:rsidDel="00000000" w:rsidR="00000000" w:rsidRPr="00000000">
        <w:rPr>
          <w:rFonts w:ascii="Google Sans" w:cs="Google Sans" w:eastAsia="Google Sans" w:hAnsi="Google Sans"/>
          <w:color w:val="1f1f1f"/>
        </w:rPr>
        <w:drawing>
          <wp:inline distB="19050" distT="19050" distL="19050" distR="19050">
            <wp:extent cx="861060" cy="246017"/>
            <wp:effectExtent b="0" l="0" r="0" t="0"/>
            <wp:docPr id="25"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861060" cy="24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maintains an identical probability of recidivism across demographic groups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2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8472" cy="241481"/>
            <wp:effectExtent b="0" l="0" r="0" t="0"/>
            <wp:docPr id="2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158472" cy="241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3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Equalized Odds requires that the model maintain equal False Positive Rates and equal False Negative Rates across groups: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3115"/>
            <wp:effectExtent b="0" l="0" r="0" t="0"/>
            <wp:docPr id="3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05500" cy="60311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Parity requires that the probability of being assigned a high-risk score is equal across groups regardless of actual outcomes: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8245"/>
            <wp:effectExtent b="0" l="0" r="0" t="0"/>
            <wp:docPr id="3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 Rate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3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prevalence of actual recidivism within a given demographic group: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38"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incompatibility between these criteria was established by Alexandra Chouldechova (2016) and Jon Kleinberg, Sendhil Mullainathan, and Manish Raghavan (2016)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Chouldechova proved that </w:t>
      </w:r>
      <w:r w:rsidDel="00000000" w:rsidR="00000000" w:rsidRPr="00000000">
        <w:rPr>
          <w:rFonts w:ascii="Google Sans" w:cs="Google Sans" w:eastAsia="Google Sans" w:hAnsi="Google Sans"/>
          <w:color w:val="1f1f1f"/>
        </w:rPr>
        <w:drawing>
          <wp:inline distB="19050" distT="19050" distL="19050" distR="19050">
            <wp:extent cx="405646" cy="237265"/>
            <wp:effectExtent b="0" l="0" r="0" t="0"/>
            <wp:docPr id="3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5646" cy="237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13861" cy="242070"/>
            <wp:effectExtent b="0" l="0" r="0" t="0"/>
            <wp:docPr id="4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13861" cy="24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19100" cy="23622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191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group base rate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1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constrained by the following identity: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1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Broward County dataset, actual two-year rearrest base rates differed significantly by race: Black defendants had a recidivism base rate of approximately 51.4%, whereas White defendants had a base rate of approximately 39.3%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1184558" cy="244554"/>
            <wp:effectExtent b="0" l="0" r="0" t="0"/>
            <wp:docPr id="14"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1184558"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ratio </w:t>
      </w:r>
      <w:r w:rsidDel="00000000" w:rsidR="00000000" w:rsidRPr="00000000">
        <w:rPr>
          <w:rFonts w:ascii="Google Sans" w:cs="Google Sans" w:eastAsia="Google Sans" w:hAnsi="Google Sans"/>
          <w:color w:val="1f1f1f"/>
        </w:rPr>
        <w:drawing>
          <wp:inline distB="19050" distT="19050" distL="19050" distR="19050">
            <wp:extent cx="291227" cy="268235"/>
            <wp:effectExtent b="0" l="0" r="0" t="0"/>
            <wp:docPr id="1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91227" cy="2682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differed substantially across cohorts (1.057 for Black defendants vs. 0.647 for White defendants)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if an algorithm is calibrated to ensure equal positive predictive value (</w:t>
      </w:r>
      <w:r w:rsidDel="00000000" w:rsidR="00000000" w:rsidRPr="00000000">
        <w:rPr>
          <w:rFonts w:ascii="Google Sans" w:cs="Google Sans" w:eastAsia="Google Sans" w:hAnsi="Google Sans"/>
          <w:color w:val="1f1f1f"/>
        </w:rPr>
        <w:drawing>
          <wp:inline distB="19050" distT="19050" distL="19050" distR="19050">
            <wp:extent cx="1815113" cy="236422"/>
            <wp:effectExtent b="0" l="0" r="0" t="0"/>
            <wp:docPr id="1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815113" cy="236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comparable true positive rates (</w:t>
      </w:r>
      <w:r w:rsidDel="00000000" w:rsidR="00000000" w:rsidRPr="00000000">
        <w:rPr>
          <w:rFonts w:ascii="Google Sans" w:cs="Google Sans" w:eastAsia="Google Sans" w:hAnsi="Google Sans"/>
          <w:color w:val="1f1f1f"/>
        </w:rPr>
        <w:drawing>
          <wp:inline distB="19050" distT="19050" distL="19050" distR="19050">
            <wp:extent cx="1825590" cy="235805"/>
            <wp:effectExtent b="0" l="0" r="0" t="0"/>
            <wp:docPr id="1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825590" cy="235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mathematical identity forces the False Positive Rate (</w:t>
      </w:r>
      <w:r w:rsidDel="00000000" w:rsidR="00000000" w:rsidRPr="00000000">
        <w:rPr>
          <w:rFonts w:ascii="Google Sans" w:cs="Google Sans" w:eastAsia="Google Sans" w:hAnsi="Google Sans"/>
          <w:color w:val="1f1f1f"/>
        </w:rPr>
        <w:drawing>
          <wp:inline distB="19050" distT="19050" distL="19050" distR="19050">
            <wp:extent cx="405646" cy="237265"/>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5646" cy="237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higher for the group with the higher base rate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Unless an assessment tool achieves perfect prediction (</w:t>
      </w:r>
      <w:r w:rsidDel="00000000" w:rsidR="00000000" w:rsidRPr="00000000">
        <w:rPr>
          <w:rFonts w:ascii="Google Sans" w:cs="Google Sans" w:eastAsia="Google Sans" w:hAnsi="Google Sans"/>
          <w:color w:val="1f1f1f"/>
        </w:rPr>
        <w:drawing>
          <wp:inline distB="19050" distT="19050" distL="19050" distR="19050">
            <wp:extent cx="947142" cy="238711"/>
            <wp:effectExtent b="0" l="0" r="0" t="0"/>
            <wp:docPr id="19"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947142" cy="23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mathematically impossible to achieve both Predictive Parity and Equalized Odds across groups with different base rates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Counter-Analyses, Rebuttals, and Methodological Critiques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Northpointe issued a technical response authored by William Dieterich, Christina Mendoza, and Tim Brennan (2016), asserting that COMPAS was racially fair because it satisfied predictive parity and accuracy equity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Northpointe demonstrated that calibration curves for Black and White defendants overlapped almost perfectly: a score of 6 yielded the same rearrest probability regardless of race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argued that adjusting the model to equalize false positive rates would force the algorithm to apply different risk thresholds to different racial groups, thereby violating predictive parity and discriminating against individuals based on race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Subsequent academic research identified methodological limitations in ProPublica's data processing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Researchers re-examining the code discovered a selection bias bug in how ProPublica constructed its two-year follow-up sample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ProPublica included non-recidivists only if they were observed for at least two full years post-release prior to April 1, 2016, but included recidivists who reoffended within two years regardless of their screening date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filtering rule erroneously retained 998 recidivists screened after April 1, 2014, while excluding non-recidivists screened during the same period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selection bias artificially inflated the overall two-year recidivism rate in ProPublica’s dataset from the true baseline of 36.2% to 45.1%—a 24.3% relative inflation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this processing error altered absolute predictive values, it did not eliminate the underlying divergence in false positive rates driven by base rate differences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2018 study published in </w:t>
      </w:r>
      <w:r w:rsidDel="00000000" w:rsidR="00000000" w:rsidRPr="00000000">
        <w:rPr>
          <w:rFonts w:ascii="Google Sans" w:cs="Google Sans" w:eastAsia="Google Sans" w:hAnsi="Google Sans"/>
          <w:i w:val="1"/>
          <w:iCs w:val="1"/>
          <w:color w:val="1f1f1f"/>
          <w:rtl w:val="0"/>
        </w:rPr>
        <w:t xml:space="preserve">Science Advances</w:t>
      </w:r>
      <w:r w:rsidDel="00000000" w:rsidR="00000000" w:rsidRPr="00000000">
        <w:rPr>
          <w:rFonts w:ascii="Google Sans" w:cs="Google Sans" w:eastAsia="Google Sans" w:hAnsi="Google Sans"/>
          <w:color w:val="1f1f1f"/>
          <w:rtl w:val="0"/>
        </w:rPr>
        <w:t xml:space="preserve">, Julia Dressel and Hany Farid examined the predictive limits of recidivism algorithms by comparing COMPAS to crowdsourced human judgment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Untrained online survey participants provided predictions based on brief defendant descriptions (age, sex, and prior convictions)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human participants achieved an average accuracy of 67.0%, compared to COMPAS's 65.2% accuracy on the same 1,000-defendant sample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human predictions exhibited racial error disparities similar to COMPAS (False Positive Rates of 40.0% for Black non-recidivists vs. 26.2% for White non-recidivists when race was explicitly disclosed, and 37.1% vs. 27.2% when race was omitted)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demonstrated that the observed error rate disparities stem primarily from proxy correlations in criminal history and age data rather than advanced algorithmic design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Findings and Statistical Discrepancy Ledger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comprehensive summary of quantitative findings across major COMPAS studies, specifying exact metrics, populations, sample sizes, and source methodologies.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Population / Group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Sample Size (N)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Original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Caveats &amp; Discrepancies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Positive Rate (FPR)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Non-Recidivists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2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cutoff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High/Med); 2-yr follow-up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cutoff at score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includes sample selection bug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Positive Rate (FPR)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 Non-Recidivists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3"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cutoff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High/Med); 2-yr follow-up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than Black FPR due to base rate disparities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Negative Rate (FNR)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Recidivists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cutoff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High/Med); 2-yr follow-up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FNR indicates higher likelihood of high risk placement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Negative Rate (FNR)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 Recidivists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7"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cutoff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High/Med); 2-yr follow-up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 re-offenders misclassified as low risk at higher 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Model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9"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Dressel &amp; Farid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7,214 Broward County public dataset analysis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ProPublica reported ~61% rearrest accuracy in initial 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Accuracy (Black)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Defendants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1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Dressel &amp; Farid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7,214 Broward County public dataset analysis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accuracy equity across racial cohorts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Accuracy (White)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 Defendants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47"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Dressel &amp; Farid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7,214 Broward County public dataset analysis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Slightly higher accuracy for White cohort due to sample distribution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Violent Crime Forecast PPV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Predictions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50"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Predictive Value for Violent Recidivism scale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Violent recidivism is rare, leading to low absolute PPV</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Logistic Regression 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Defendants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51"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1.45</w:t>
            </w:r>
            <w:r w:rsidDel="00000000" w:rsidR="00000000" w:rsidRPr="00000000">
              <w:rPr>
                <w:rFonts w:ascii="Google Sans" w:cs="Google Sans" w:eastAsia="Google Sans" w:hAnsi="Google Sans"/>
                <w:color w:val="1f1f1f"/>
                <w:rtl w:val="0"/>
              </w:rPr>
              <w:t xml:space="preserve">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 regression controlling for age, sex, priors, outcome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odds of receiving score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5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contested by vendor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Violent Regression 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Defendants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56"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1.77</w:t>
            </w:r>
            <w:r w:rsidDel="00000000" w:rsidR="00000000" w:rsidRPr="00000000">
              <w:rPr>
                <w:rFonts w:ascii="Google Sans" w:cs="Google Sans" w:eastAsia="Google Sans" w:hAnsi="Google Sans"/>
                <w:color w:val="1f1f1f"/>
                <w:rtl w:val="0"/>
              </w:rPr>
              <w:t xml:space="preserve"> (77%)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 regression on Violent Recidivism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Odds ratio controlling for background factors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True Recidivism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Corrected Sample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97255" cy="214728"/>
                  <wp:effectExtent b="0" l="0" r="0" t="0"/>
                  <wp:docPr id="58"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897255" cy="2147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Academic Re-analysis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Screening date cutoff correction applied to ProPublica data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Uncorrected ProPublica dataset reported 45.1% recidivism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Benchmark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Crowdsourced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0816" cy="214178"/>
                  <wp:effectExtent b="0" l="0" r="0" t="0"/>
                  <wp:docPr id="61"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810816" cy="2141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Dressel &amp; Farid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MTurk evaluation of defendant profiles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Non-experts matched algorithmic prediction accuracy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Synthesis: Supported Findings versus Disputed Claims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COMPAS debate requires distinguishing mathematically verified facts from disputed claims and policy interpretations.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Strongly Supported Findings</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Mathematical Incompatibility</w:t>
      </w:r>
      <w:r w:rsidDel="00000000" w:rsidR="00000000" w:rsidRPr="00000000">
        <w:rPr>
          <w:rFonts w:ascii="Google Sans" w:cs="Google Sans" w:eastAsia="Google Sans" w:hAnsi="Google Sans"/>
          <w:color w:val="1f1f1f"/>
          <w:rtl w:val="0"/>
        </w:rPr>
        <w:t xml:space="preserve">: When baseline rates differ across demographic groups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6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65"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 risk assessment tool can simultaneously satisfy Equalized Odds and Predictive Parity unless it achieves perfect accuracy (</w:t>
      </w:r>
      <w:r w:rsidDel="00000000" w:rsidR="00000000" w:rsidRPr="00000000">
        <w:rPr>
          <w:rFonts w:ascii="Google Sans" w:cs="Google Sans" w:eastAsia="Google Sans" w:hAnsi="Google Sans"/>
          <w:color w:val="1f1f1f"/>
        </w:rPr>
        <w:drawing>
          <wp:inline distB="19050" distT="19050" distL="19050" distR="19050">
            <wp:extent cx="947142" cy="238711"/>
            <wp:effectExtent b="0" l="0" r="0" t="0"/>
            <wp:docPr id="6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947142" cy="23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Predictive Parity Maintenance</w:t>
      </w:r>
      <w:r w:rsidDel="00000000" w:rsidR="00000000" w:rsidRPr="00000000">
        <w:rPr>
          <w:rFonts w:ascii="Google Sans" w:cs="Google Sans" w:eastAsia="Google Sans" w:hAnsi="Google Sans"/>
          <w:color w:val="1f1f1f"/>
          <w:rtl w:val="0"/>
        </w:rPr>
        <w:t xml:space="preserve">: COMPAS achieves consistent calibration across racial groups, meaning that Black and White defendants assigned the same decile score reoffend at substantially similar rates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Disparate Error Distributions</w:t>
      </w:r>
      <w:r w:rsidDel="00000000" w:rsidR="00000000" w:rsidRPr="00000000">
        <w:rPr>
          <w:rFonts w:ascii="Google Sans" w:cs="Google Sans" w:eastAsia="Google Sans" w:hAnsi="Google Sans"/>
          <w:color w:val="1f1f1f"/>
          <w:rtl w:val="0"/>
        </w:rPr>
        <w:t xml:space="preserve">: Under standard binary decision cutoffs (</w:t>
      </w:r>
      <w:r w:rsidDel="00000000" w:rsidR="00000000" w:rsidRPr="00000000">
        <w:rPr>
          <w:rFonts w:ascii="Google Sans" w:cs="Google Sans" w:eastAsia="Google Sans" w:hAnsi="Google Sans"/>
          <w:color w:val="1f1f1f"/>
        </w:rPr>
        <w:drawing>
          <wp:inline distB="19050" distT="19050" distL="19050" distR="19050">
            <wp:extent cx="878919" cy="236926"/>
            <wp:effectExtent b="0" l="0" r="0" t="0"/>
            <wp:docPr id="46"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878919" cy="236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Black non-recidivists face a significantly higher False Positive Rate than White non-recidivists, while White recidivists experience a higher False Negative 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Proxy Feature Leakage</w:t>
      </w:r>
      <w:r w:rsidDel="00000000" w:rsidR="00000000" w:rsidRPr="00000000">
        <w:rPr>
          <w:rFonts w:ascii="Google Sans" w:cs="Google Sans" w:eastAsia="Google Sans" w:hAnsi="Google Sans"/>
          <w:color w:val="1f1f1f"/>
          <w:rtl w:val="0"/>
        </w:rPr>
        <w:t xml:space="preserve">: Removing explicit race variables does not eliminate racial disparities in risk scores because variables like criminal history and age correlate with broader socio-economic and structural factors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Disputed or Disproven Claims</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Intentional Algorithmic Bias</w:t>
      </w:r>
      <w:r w:rsidDel="00000000" w:rsidR="00000000" w:rsidRPr="00000000">
        <w:rPr>
          <w:rFonts w:ascii="Google Sans" w:cs="Google Sans" w:eastAsia="Google Sans" w:hAnsi="Google Sans"/>
          <w:color w:val="1f1f1f"/>
          <w:rtl w:val="0"/>
        </w:rPr>
        <w:t xml:space="preserve">: Allegations that COMPAS was intentionally programmed to penalize Black defendants are unsubstantiated; disparate error distributions stem from base rate differences and proxy features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ProPublica’s Recidivism Baseline</w:t>
      </w:r>
      <w:r w:rsidDel="00000000" w:rsidR="00000000" w:rsidRPr="00000000">
        <w:rPr>
          <w:rFonts w:ascii="Google Sans" w:cs="Google Sans" w:eastAsia="Google Sans" w:hAnsi="Google Sans"/>
          <w:color w:val="1f1f1f"/>
          <w:rtl w:val="0"/>
        </w:rPr>
        <w:t xml:space="preserve">: ProPublica’s original analysis inflated the sample recidivism rate (reporting </w:t>
      </w:r>
      <w:r w:rsidDel="00000000" w:rsidR="00000000" w:rsidRPr="00000000">
        <w:rPr>
          <w:rFonts w:ascii="Google Sans" w:cs="Google Sans" w:eastAsia="Google Sans" w:hAnsi="Google Sans"/>
          <w:color w:val="1f1f1f"/>
        </w:rPr>
        <w:drawing>
          <wp:inline distB="19050" distT="19050" distL="19050" distR="19050">
            <wp:extent cx="511612" cy="236716"/>
            <wp:effectExtent b="0" l="0" r="0" t="0"/>
            <wp:docPr id="22"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11612" cy="236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of the true </w:t>
      </w:r>
      <w:r w:rsidDel="00000000" w:rsidR="00000000" w:rsidRPr="00000000">
        <w:rPr>
          <w:rFonts w:ascii="Google Sans" w:cs="Google Sans" w:eastAsia="Google Sans" w:hAnsi="Google Sans"/>
          <w:color w:val="1f1f1f"/>
        </w:rPr>
        <w:drawing>
          <wp:inline distB="19050" distT="19050" distL="19050" distR="19050">
            <wp:extent cx="511612" cy="236716"/>
            <wp:effectExtent b="0" l="0" r="0" t="0"/>
            <wp:docPr id="23"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11612" cy="236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a sample selection cutoff error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Superior Predictive Capacity</w:t>
      </w:r>
      <w:r w:rsidDel="00000000" w:rsidR="00000000" w:rsidRPr="00000000">
        <w:rPr>
          <w:rFonts w:ascii="Google Sans" w:cs="Google Sans" w:eastAsia="Google Sans" w:hAnsi="Google Sans"/>
          <w:color w:val="1f1f1f"/>
          <w:rtl w:val="0"/>
        </w:rPr>
        <w:t xml:space="preserve">: Claims that proprietary algorithms offer superior predictive capability compared to simple linear models or non-expert human evaluators are unsupported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AI Governance Lessons and Recommended Policy Controls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COMPAS controversy offers valuable lessons for AI governance professionals managing high-stakes algorithmic deployments.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Legal Due Process and </w:t>
      </w:r>
      <w:r w:rsidDel="00000000" w:rsidR="00000000" w:rsidRPr="00000000">
        <w:rPr>
          <w:rFonts w:ascii="Google Sans" w:cs="Google Sans" w:eastAsia="Google Sans" w:hAnsi="Google Sans"/>
          <w:b w:val="1"/>
          <w:bCs w:val="1"/>
          <w:i w:val="1"/>
          <w:iCs w:val="1"/>
          <w:color w:val="1f1f1f"/>
          <w:sz w:val="28"/>
          <w:szCs w:val="28"/>
          <w:rtl w:val="0"/>
        </w:rPr>
        <w:t xml:space="preserve">State v. Loomis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State v. Loomis</w:t>
      </w:r>
      <w:r w:rsidDel="00000000" w:rsidR="00000000" w:rsidRPr="00000000">
        <w:rPr>
          <w:rFonts w:ascii="Google Sans" w:cs="Google Sans" w:eastAsia="Google Sans" w:hAnsi="Google Sans"/>
          <w:color w:val="1f1f1f"/>
          <w:rtl w:val="0"/>
        </w:rPr>
        <w:t xml:space="preserve"> (881 N.W.2d 749), the Wisconsin Supreme Court considered whether using a proprietary risk tool at sentencing violated a defendant's due process rights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court held that COMPAS could be used at sentencing, but established mandatory judicial advisements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Proprietary Limitations</w:t>
      </w:r>
      <w:r w:rsidDel="00000000" w:rsidR="00000000" w:rsidRPr="00000000">
        <w:rPr>
          <w:rFonts w:ascii="Google Sans" w:cs="Google Sans" w:eastAsia="Google Sans" w:hAnsi="Google Sans"/>
          <w:color w:val="1f1f1f"/>
          <w:rtl w:val="0"/>
        </w:rPr>
        <w:t xml:space="preserve">: Courts must be informed that trade secret protections prevent disclosure of the algorithm's specific weighting formulas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Group-Level Probabilities</w:t>
      </w:r>
      <w:r w:rsidDel="00000000" w:rsidR="00000000" w:rsidRPr="00000000">
        <w:rPr>
          <w:rFonts w:ascii="Google Sans" w:cs="Google Sans" w:eastAsia="Google Sans" w:hAnsi="Google Sans"/>
          <w:color w:val="1f1f1f"/>
          <w:rtl w:val="0"/>
        </w:rPr>
        <w:t xml:space="preserve">: Risk scores reflect group-level historical probabilities rather than individual certainty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Overprediction Warnings</w:t>
      </w:r>
      <w:r w:rsidDel="00000000" w:rsidR="00000000" w:rsidRPr="00000000">
        <w:rPr>
          <w:rFonts w:ascii="Google Sans" w:cs="Google Sans" w:eastAsia="Google Sans" w:hAnsi="Google Sans"/>
          <w:color w:val="1f1f1f"/>
          <w:rtl w:val="0"/>
        </w:rPr>
        <w:t xml:space="preserve">: Scores may overpredict recidivism risks for minority offenders due to broader statistical disparities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Non-Determinative Severity</w:t>
      </w:r>
      <w:r w:rsidDel="00000000" w:rsidR="00000000" w:rsidRPr="00000000">
        <w:rPr>
          <w:rFonts w:ascii="Google Sans" w:cs="Google Sans" w:eastAsia="Google Sans" w:hAnsi="Google Sans"/>
          <w:color w:val="1f1f1f"/>
          <w:rtl w:val="0"/>
        </w:rPr>
        <w:t xml:space="preserve">: Scores cannot dictate sentence length or serve as the decisive factor in ordering incarceration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 Validation</w:t>
      </w:r>
      <w:r w:rsidDel="00000000" w:rsidR="00000000" w:rsidRPr="00000000">
        <w:rPr>
          <w:rFonts w:ascii="Google Sans" w:cs="Google Sans" w:eastAsia="Google Sans" w:hAnsi="Google Sans"/>
          <w:color w:val="1f1f1f"/>
          <w:rtl w:val="0"/>
        </w:rPr>
        <w:t xml:space="preserve">: Risk tools must be regularly validated against local demographic outcomes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Governance Risk Domains and Recommended Controls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governance frameworks must address five key domains to manage the trade-offs highlighted by COMPAS:</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Pre-Deployment Metric Selection</w:t>
      </w:r>
      <w:r w:rsidDel="00000000" w:rsidR="00000000" w:rsidRPr="00000000">
        <w:rPr>
          <w:rFonts w:ascii="Google Sans" w:cs="Google Sans" w:eastAsia="Google Sans" w:hAnsi="Google Sans"/>
          <w:color w:val="1f1f1f"/>
          <w:rtl w:val="0"/>
        </w:rPr>
        <w:t xml:space="preserve">: Stakeholders must define and document their choice of fairness metrics before model deployment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base rates differ across demographic groups, leadership must explicitly decide whether to optimize for Equalized Odds or Predictive Parity based on regulatory requirements and potential societal impact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Proxy Variable Auditing</w:t>
      </w:r>
      <w:r w:rsidDel="00000000" w:rsidR="00000000" w:rsidRPr="00000000">
        <w:rPr>
          <w:rFonts w:ascii="Google Sans" w:cs="Google Sans" w:eastAsia="Google Sans" w:hAnsi="Google Sans"/>
          <w:color w:val="1f1f1f"/>
          <w:rtl w:val="0"/>
        </w:rPr>
        <w:t xml:space="preserve">: Governance teams must audit input features to identify indirect proxies for protected attributes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Variables that introduce structural noise without improving predictive performance should be removed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Mitigating Automation Bias</w:t>
      </w:r>
      <w:r w:rsidDel="00000000" w:rsidR="00000000" w:rsidRPr="00000000">
        <w:rPr>
          <w:rFonts w:ascii="Google Sans" w:cs="Google Sans" w:eastAsia="Google Sans" w:hAnsi="Google Sans"/>
          <w:color w:val="1f1f1f"/>
          <w:rtl w:val="0"/>
        </w:rPr>
        <w:t xml:space="preserve">: Human-in-the-loop oversight does not eliminate algorithmic risk if decision-makers default to automated scores due to anchoring bias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Organizations should implement training and audit human override rates to ensure meaningful oversight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Third-Party Vendor Transparency</w:t>
      </w:r>
      <w:r w:rsidDel="00000000" w:rsidR="00000000" w:rsidRPr="00000000">
        <w:rPr>
          <w:rFonts w:ascii="Google Sans" w:cs="Google Sans" w:eastAsia="Google Sans" w:hAnsi="Google Sans"/>
          <w:color w:val="1f1f1f"/>
          <w:rtl w:val="0"/>
        </w:rPr>
        <w:t xml:space="preserve">: Third-party algorithms should be subjected to independent auditing requirements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Procurement contracts must mandate model cards, feature importance disclosures, and access for independent evaluation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Continuous Local Re-calibration</w:t>
      </w:r>
      <w:r w:rsidDel="00000000" w:rsidR="00000000" w:rsidRPr="00000000">
        <w:rPr>
          <w:rFonts w:ascii="Google Sans" w:cs="Google Sans" w:eastAsia="Google Sans" w:hAnsi="Google Sans"/>
          <w:color w:val="1f1f1f"/>
          <w:rtl w:val="0"/>
        </w:rPr>
        <w:t xml:space="preserve">: Algorithmic performance can drift over time and vary across geographies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Systems must undergo periodic re-calibration using local administrative data to maintain accuracy and equity across cohorts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Primary Sources Ledger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resource ledger documents the authoritative primary literature, judicial precedents, and datasets that establish the evidence base for this audit.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Title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Author /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Publication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Supported Claims / Findings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"Machine Bias: There's Software Used Across the Country..."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Angwin, J. Larson, S. Mattu, L. Kirchner (ProPublica)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23,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Broward County audit findings; false positive disparity metrics (44.9% vs 23.5%)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We Analyzed the COMPAS Recidivism Algorithm"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Larson, S. Mattu, L. Kirchner, J. Angwin (ProPublica)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23,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data processing methodologies, dataset matching logic, logistic regression specifications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"COMPAS Risk Scales: Demonstrating Accuracy Equity &amp; Predictive Parity"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Dieterich, C. Mendoza, T. Brennan (Northpointe 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8,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proof of Predictive Parity and calibration equity across racial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i w:val="1"/>
                <w:iCs w:val="1"/>
                <w:color w:val="1f1f1f"/>
                <w:rtl w:val="0"/>
              </w:rPr>
              <w:t xml:space="preserve">State v. Loomis</w:t>
            </w:r>
            <w:r w:rsidDel="00000000" w:rsidR="00000000" w:rsidRPr="00000000">
              <w:rPr>
                <w:rFonts w:ascii="Google Sans" w:cs="Google Sans" w:eastAsia="Google Sans" w:hAnsi="Google Sans"/>
                <w:b w:val="1"/>
                <w:bCs w:val="1"/>
                <w:color w:val="1f1f1f"/>
                <w:rtl w:val="0"/>
              </w:rPr>
              <w:t xml:space="preserve">, 2016 WI 68, 881 N.W.2d 749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Supreme Court of Wisconsin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13,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process standards for algorithmic sentencing tools; required judicial advisements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"Fair Prediction with Disparate Impact: A Study of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Alexandra Chouldechova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proof of incompatibility between predictive parity and equalized odds under differing base rates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"Inherent Trade-Offs in the Fair Determination of Risk Scores"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Kleinberg, S. Mullainathan, M. Raghavan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proof of mutual exclusivity between score calibration and error rate balance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Accuracy, Fairness, and Limits of Predicting Recidivism"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Dressel, H. Farid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January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comparison between human survey takers and COMPAS accuracy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24"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26"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Selection Bias Bug in ProPublica's COMPAS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Audit Re-analysis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of 2-year sample selection cutoff bug inflating dataset recidivism rate by 24.3%</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Table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maps claims, empirical evidence, sources, confidence levels, and methodological caveats across the COMPAS literature.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Caveat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Black defendants face higher FPRs under standard cutoffs.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non-recidivists misclassified as high risk at </w:t>
            </w:r>
            <w:r w:rsidDel="00000000" w:rsidR="00000000" w:rsidRPr="00000000">
              <w:rPr>
                <w:rFonts w:ascii="Google Sans" w:cs="Google Sans" w:eastAsia="Google Sans" w:hAnsi="Google Sans"/>
                <w:b w:val="1"/>
                <w:bCs w:val="1"/>
                <w:color w:val="1f1f1f"/>
                <w:rtl w:val="0"/>
              </w:rPr>
              <w:t xml:space="preserve">44.9%</w:t>
            </w:r>
            <w:r w:rsidDel="00000000" w:rsidR="00000000" w:rsidRPr="00000000">
              <w:rPr>
                <w:rFonts w:ascii="Google Sans" w:cs="Google Sans" w:eastAsia="Google Sans" w:hAnsi="Google Sans"/>
                <w:color w:val="1f1f1f"/>
                <w:rtl w:val="0"/>
              </w:rPr>
              <w:t xml:space="preserve"> vs. White non-recidivists at </w:t>
            </w:r>
            <w:r w:rsidDel="00000000" w:rsidR="00000000" w:rsidRPr="00000000">
              <w:rPr>
                <w:rFonts w:ascii="Google Sans" w:cs="Google Sans" w:eastAsia="Google Sans" w:hAnsi="Google Sans"/>
                <w:b w:val="1"/>
                <w:bCs w:val="1"/>
                <w:color w:val="1f1f1f"/>
                <w:rtl w:val="0"/>
              </w:rPr>
              <w:t xml:space="preserve">23.5%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Journalism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Sensitive to choice of binary threshold (</w:t>
            </w:r>
            <w:r w:rsidDel="00000000" w:rsidR="00000000" w:rsidRPr="00000000">
              <w:rPr>
                <w:rFonts w:ascii="Google Sans" w:cs="Google Sans" w:eastAsia="Google Sans" w:hAnsi="Google Sans"/>
                <w:color w:val="1f1f1f"/>
              </w:rPr>
              <w:drawing>
                <wp:inline distB="19050" distT="19050" distL="19050" distR="19050">
                  <wp:extent cx="739378" cy="205806"/>
                  <wp:effectExtent b="0" l="0" r="0" t="0"/>
                  <wp:docPr id="28"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739378" cy="205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includes sample processing bug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White recidivists face higher FNRs under standard cutoffs.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 recidivists misclassified as low risk at </w:t>
            </w:r>
            <w:r w:rsidDel="00000000" w:rsidR="00000000" w:rsidRPr="00000000">
              <w:rPr>
                <w:rFonts w:ascii="Google Sans" w:cs="Google Sans" w:eastAsia="Google Sans" w:hAnsi="Google Sans"/>
                <w:b w:val="1"/>
                <w:bCs w:val="1"/>
                <w:color w:val="1f1f1f"/>
                <w:rtl w:val="0"/>
              </w:rPr>
              <w:t xml:space="preserve">47.7%</w:t>
            </w:r>
            <w:r w:rsidDel="00000000" w:rsidR="00000000" w:rsidRPr="00000000">
              <w:rPr>
                <w:rFonts w:ascii="Google Sans" w:cs="Google Sans" w:eastAsia="Google Sans" w:hAnsi="Google Sans"/>
                <w:color w:val="1f1f1f"/>
                <w:rtl w:val="0"/>
              </w:rPr>
              <w:t xml:space="preserve"> vs. Black recidivists at </w:t>
            </w:r>
            <w:r w:rsidDel="00000000" w:rsidR="00000000" w:rsidRPr="00000000">
              <w:rPr>
                <w:rFonts w:ascii="Google Sans" w:cs="Google Sans" w:eastAsia="Google Sans" w:hAnsi="Google Sans"/>
                <w:b w:val="1"/>
                <w:bCs w:val="1"/>
                <w:color w:val="1f1f1f"/>
                <w:rtl w:val="0"/>
              </w:rPr>
              <w:t xml:space="preserve">28.0%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Journalism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Driven by group base rate disparities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30"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32"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COMPAS maintains predictive parity across racial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Predictive Value remains approximately </w:t>
            </w:r>
            <w:r w:rsidDel="00000000" w:rsidR="00000000" w:rsidRPr="00000000">
              <w:rPr>
                <w:rFonts w:ascii="Google Sans" w:cs="Google Sans" w:eastAsia="Google Sans" w:hAnsi="Google Sans"/>
                <w:b w:val="1"/>
                <w:bCs w:val="1"/>
                <w:color w:val="1f1f1f"/>
                <w:rtl w:val="0"/>
              </w:rPr>
              <w:t xml:space="preserve">60–63%</w:t>
            </w:r>
            <w:r w:rsidDel="00000000" w:rsidR="00000000" w:rsidRPr="00000000">
              <w:rPr>
                <w:rFonts w:ascii="Google Sans" w:cs="Google Sans" w:eastAsia="Google Sans" w:hAnsi="Google Sans"/>
                <w:color w:val="1f1f1f"/>
                <w:rtl w:val="0"/>
              </w:rPr>
              <w:t xml:space="preserve"> for both Black and White defendants.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Dieterich et al. / Northpointe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Technical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parity does not guarantee equal false positive rates across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Equalized Odds and Predictive Parity are mutually exclusive.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proof: </w:t>
            </w:r>
            <w:r w:rsidDel="00000000" w:rsidR="00000000" w:rsidRPr="00000000">
              <w:rPr>
                <w:rFonts w:ascii="Google Sans" w:cs="Google Sans" w:eastAsia="Google Sans" w:hAnsi="Google Sans"/>
                <w:color w:val="1f1f1f"/>
              </w:rPr>
              <w:drawing>
                <wp:inline distB="19050" distT="19050" distL="19050" distR="19050">
                  <wp:extent cx="2074907" cy="236478"/>
                  <wp:effectExtent b="0" l="0" r="0" t="0"/>
                  <wp:docPr id="34"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2074907" cy="236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Chouldechova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Kleinberg et al.</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Applies whenever group base rates differ (</w:t>
            </w:r>
            <w:r w:rsidDel="00000000" w:rsidR="00000000" w:rsidRPr="00000000">
              <w:rPr>
                <w:rFonts w:ascii="Google Sans" w:cs="Google Sans" w:eastAsia="Google Sans" w:hAnsi="Google Sans"/>
                <w:color w:val="1f1f1f"/>
              </w:rPr>
              <w:drawing>
                <wp:inline distB="19050" distT="19050" distL="19050" distR="19050">
                  <wp:extent cx="610552" cy="213693"/>
                  <wp:effectExtent b="0" l="0" r="0" t="0"/>
                  <wp:docPr id="36"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610552" cy="213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predictions are imperfect (</w:t>
            </w:r>
            <w:r w:rsidDel="00000000" w:rsidR="00000000" w:rsidRPr="00000000">
              <w:rPr>
                <w:rFonts w:ascii="Google Sans" w:cs="Google Sans" w:eastAsia="Google Sans" w:hAnsi="Google Sans"/>
                <w:color w:val="1f1f1f"/>
              </w:rPr>
              <w:drawing>
                <wp:inline distB="19050" distT="19050" distL="19050" distR="19050">
                  <wp:extent cx="835581" cy="205097"/>
                  <wp:effectExtent b="0" l="0" r="0" t="0"/>
                  <wp:docPr id="21"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835581" cy="205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ProPublica's sample suffered from selection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Screening date cutoff bug kept 998 excess recidivists, inflating dataset recidivism from </w:t>
            </w:r>
            <w:r w:rsidDel="00000000" w:rsidR="00000000" w:rsidRPr="00000000">
              <w:rPr>
                <w:rFonts w:ascii="Google Sans" w:cs="Google Sans" w:eastAsia="Google Sans" w:hAnsi="Google Sans"/>
                <w:b w:val="1"/>
                <w:bCs w:val="1"/>
                <w:color w:val="1f1f1f"/>
                <w:rtl w:val="0"/>
              </w:rPr>
              <w:t xml:space="preserve">36.2%</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45.1%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Academic Re-analysis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Alters absolute predictive values, but does not eliminate base-rate-driven FPR disparities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Untrained humans match COMPAS predictive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Crowdsourced survey takers achieved </w:t>
            </w:r>
            <w:r w:rsidDel="00000000" w:rsidR="00000000" w:rsidRPr="00000000">
              <w:rPr>
                <w:rFonts w:ascii="Google Sans" w:cs="Google Sans" w:eastAsia="Google Sans" w:hAnsi="Google Sans"/>
                <w:b w:val="1"/>
                <w:bCs w:val="1"/>
                <w:color w:val="1f1f1f"/>
                <w:rtl w:val="0"/>
              </w:rPr>
              <w:t xml:space="preserve">67.0%</w:t>
            </w:r>
            <w:r w:rsidDel="00000000" w:rsidR="00000000" w:rsidRPr="00000000">
              <w:rPr>
                <w:rFonts w:ascii="Google Sans" w:cs="Google Sans" w:eastAsia="Google Sans" w:hAnsi="Google Sans"/>
                <w:color w:val="1f1f1f"/>
                <w:rtl w:val="0"/>
              </w:rPr>
              <w:t xml:space="preserve"> accuracy compared to COMPAS's </w:t>
            </w:r>
            <w:r w:rsidDel="00000000" w:rsidR="00000000" w:rsidRPr="00000000">
              <w:rPr>
                <w:rFonts w:ascii="Google Sans" w:cs="Google Sans" w:eastAsia="Google Sans" w:hAnsi="Google Sans"/>
                <w:b w:val="1"/>
                <w:bCs w:val="1"/>
                <w:color w:val="1f1f1f"/>
                <w:rtl w:val="0"/>
              </w:rPr>
              <w:t xml:space="preserve">65.2%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Dressel &amp; Farid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 Journal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occurred in online survey settings rather than live courtroom environments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Disparity persists when controlling for criminal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 regression yielded an Odds Ratio of </w:t>
            </w:r>
            <w:r w:rsidDel="00000000" w:rsidR="00000000" w:rsidRPr="00000000">
              <w:rPr>
                <w:rFonts w:ascii="Google Sans" w:cs="Google Sans" w:eastAsia="Google Sans" w:hAnsi="Google Sans"/>
                <w:b w:val="1"/>
                <w:bCs w:val="1"/>
                <w:color w:val="1f1f1f"/>
                <w:rtl w:val="0"/>
              </w:rPr>
              <w:t xml:space="preserve">1.45</w:t>
            </w:r>
            <w:r w:rsidDel="00000000" w:rsidR="00000000" w:rsidRPr="00000000">
              <w:rPr>
                <w:rFonts w:ascii="Google Sans" w:cs="Google Sans" w:eastAsia="Google Sans" w:hAnsi="Google Sans"/>
                <w:color w:val="1f1f1f"/>
                <w:rtl w:val="0"/>
              </w:rPr>
              <w:t xml:space="preserve"> for general recidivism and </w:t>
            </w:r>
            <w:r w:rsidDel="00000000" w:rsidR="00000000" w:rsidRPr="00000000">
              <w:rPr>
                <w:rFonts w:ascii="Google Sans" w:cs="Google Sans" w:eastAsia="Google Sans" w:hAnsi="Google Sans"/>
                <w:b w:val="1"/>
                <w:bCs w:val="1"/>
                <w:color w:val="1f1f1f"/>
                <w:rtl w:val="0"/>
              </w:rPr>
              <w:t xml:space="preserve">1.77</w:t>
            </w:r>
            <w:r w:rsidDel="00000000" w:rsidR="00000000" w:rsidRPr="00000000">
              <w:rPr>
                <w:rFonts w:ascii="Google Sans" w:cs="Google Sans" w:eastAsia="Google Sans" w:hAnsi="Google Sans"/>
                <w:color w:val="1f1f1f"/>
                <w:rtl w:val="0"/>
              </w:rPr>
              <w:t xml:space="preserve"> for violent recidivism for Black defendants.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ProPublica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Journalism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Contested by Northpointe due to potential model misspecification and omitted variables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COMPAS cannot be the sole factor in sentencing.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Wisconsin Supreme Court required disclaimers and ruled scores cannot dictate sentence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Supreme Court of Wisconsin (</w:t>
            </w:r>
            <w:r w:rsidDel="00000000" w:rsidR="00000000" w:rsidRPr="00000000">
              <w:rPr>
                <w:rFonts w:ascii="Google Sans" w:cs="Google Sans" w:eastAsia="Google Sans" w:hAnsi="Google Sans"/>
                <w:i w:val="1"/>
                <w:iCs w:val="1"/>
                <w:color w:val="1f1f1f"/>
                <w:rtl w:val="0"/>
              </w:rPr>
              <w:t xml:space="preserve">State v. Loomis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Serves as binding legal precedent in Wisconsin and an influential policy framework elsewhere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COMPAS Recidivism Racial Bias - Kaggle, </w:t>
      </w:r>
      <w:hyperlink r:id="rId53">
        <w:r w:rsidDel="00000000" w:rsidR="00000000" w:rsidRPr="00000000">
          <w:rPr>
            <w:rFonts w:ascii="Google Sans" w:cs="Google Sans" w:eastAsia="Google Sans" w:hAnsi="Google Sans"/>
            <w:color w:val="0000ee"/>
            <w:sz w:val="24"/>
            <w:szCs w:val="24"/>
            <w:u w:val="single"/>
            <w:rtl w:val="0"/>
          </w:rPr>
          <w:t xml:space="preserve">https://www.kaggle.com/datasets/danofer/compass/data</w:t>
        </w:r>
      </w:hyperlink>
      <w:r w:rsidDel="00000000" w:rsidR="00000000" w:rsidRPr="00000000">
        <w:rPr>
          <w:rtl w:val="0"/>
        </w:rPr>
      </w:r>
    </w:p>
    <w:p w:rsidR="00000000" w:rsidDel="00000000" w:rsidP="00000000" w:rsidRDefault="00000000" w:rsidRPr="00000000" w14:paraId="000001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Risk Assessment in Sentencing, </w:t>
      </w:r>
      <w:hyperlink r:id="rId54">
        <w:r w:rsidDel="00000000" w:rsidR="00000000" w:rsidRPr="00000000">
          <w:rPr>
            <w:rFonts w:ascii="Google Sans" w:cs="Google Sans" w:eastAsia="Google Sans" w:hAnsi="Google Sans"/>
            <w:color w:val="0000ee"/>
            <w:sz w:val="24"/>
            <w:szCs w:val="24"/>
            <w:u w:val="single"/>
            <w:rtl w:val="0"/>
          </w:rPr>
          <w:t xml:space="preserve">https://scholarship.law.duke.edu/cgi/viewcontent.cgi?article=7083&amp;context=faculty_scholarship</w:t>
        </w:r>
      </w:hyperlink>
      <w:r w:rsidDel="00000000" w:rsidR="00000000" w:rsidRPr="00000000">
        <w:rPr>
          <w:rtl w:val="0"/>
        </w:rPr>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Bias - ProPublica, </w:t>
      </w:r>
      <w:hyperlink r:id="rId55">
        <w:r w:rsidDel="00000000" w:rsidR="00000000" w:rsidRPr="00000000">
          <w:rPr>
            <w:rFonts w:ascii="Google Sans" w:cs="Google Sans" w:eastAsia="Google Sans" w:hAnsi="Google Sans"/>
            <w:color w:val="0000ee"/>
            <w:sz w:val="24"/>
            <w:szCs w:val="24"/>
            <w:u w:val="single"/>
            <w:rtl w:val="0"/>
          </w:rPr>
          <w:t xml:space="preserve">https://www.propublica.org/article/machine-bias-risk-assessments-in-criminal-sentencing</w:t>
        </w:r>
      </w:hyperlink>
      <w:r w:rsidDel="00000000" w:rsidR="00000000" w:rsidRPr="00000000">
        <w:rPr>
          <w:rtl w:val="0"/>
        </w:rPr>
      </w:r>
    </w:p>
    <w:p w:rsidR="00000000" w:rsidDel="00000000" w:rsidP="00000000" w:rsidRDefault="00000000" w:rsidRPr="00000000" w14:paraId="000001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Reprogramming Fairness: Affirmative Action in Algorithmic Criminal, </w:t>
      </w:r>
      <w:hyperlink r:id="rId56">
        <w:r w:rsidDel="00000000" w:rsidR="00000000" w:rsidRPr="00000000">
          <w:rPr>
            <w:rFonts w:ascii="Google Sans" w:cs="Google Sans" w:eastAsia="Google Sans" w:hAnsi="Google Sans"/>
            <w:color w:val="0000ee"/>
            <w:sz w:val="24"/>
            <w:szCs w:val="24"/>
            <w:u w:val="single"/>
            <w:rtl w:val="0"/>
          </w:rPr>
          <w:t xml:space="preserve">https://hrlr.law.columbia.edu/hrlr-online/reprogramming-fairness-affirmative-action-in-algorithmic-criminal-sentencing/</w:t>
        </w:r>
      </w:hyperlink>
      <w:r w:rsidDel="00000000" w:rsidR="00000000" w:rsidRPr="00000000">
        <w:rPr>
          <w:rtl w:val="0"/>
        </w:rPr>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accuracy, fairness, and limits of predicting recidivism - PMC - NIH,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https://pmc.ncbi.nlm.nih.gov/articles/PMC5777393/</w:t>
        </w:r>
      </w:hyperlink>
      <w:r w:rsidDel="00000000" w:rsidR="00000000" w:rsidRPr="00000000">
        <w:rPr>
          <w:rtl w:val="0"/>
        </w:rPr>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COMPAS : Unfair Algorithm - Medium, </w:t>
      </w:r>
      <w:hyperlink r:id="rId58">
        <w:r w:rsidDel="00000000" w:rsidR="00000000" w:rsidRPr="00000000">
          <w:rPr>
            <w:rFonts w:ascii="Google Sans" w:cs="Google Sans" w:eastAsia="Google Sans" w:hAnsi="Google Sans"/>
            <w:color w:val="0000ee"/>
            <w:sz w:val="24"/>
            <w:szCs w:val="24"/>
            <w:u w:val="single"/>
            <w:rtl w:val="0"/>
          </w:rPr>
          <w:t xml:space="preserve">https://medium.com/@lamdaa/compas-unfair-algorithm-812702ed6a6a</w:t>
        </w:r>
      </w:hyperlink>
      <w:r w:rsidDel="00000000" w:rsidR="00000000" w:rsidRPr="00000000">
        <w:rPr>
          <w:rtl w:val="0"/>
        </w:rPr>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Inherent Trade-Offs in the Fair Determination of Risk Scores - arXiv, </w:t>
      </w:r>
      <w:hyperlink r:id="rId59">
        <w:r w:rsidDel="00000000" w:rsidR="00000000" w:rsidRPr="00000000">
          <w:rPr>
            <w:rFonts w:ascii="Google Sans" w:cs="Google Sans" w:eastAsia="Google Sans" w:hAnsi="Google Sans"/>
            <w:color w:val="0000ee"/>
            <w:sz w:val="24"/>
            <w:szCs w:val="24"/>
            <w:u w:val="single"/>
            <w:rtl w:val="0"/>
          </w:rPr>
          <w:t xml:space="preserve">https://arxiv.org/abs/1609.05807</w:t>
        </w:r>
      </w:hyperlink>
      <w:r w:rsidDel="00000000" w:rsidR="00000000" w:rsidRPr="00000000">
        <w:rPr>
          <w:rtl w:val="0"/>
        </w:rPr>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Prediction with Disparate Impact: A Study of Bias in Recidivism,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https://www.researchgate.net/publication/309402975_Fair_Prediction_with_Disparate_Impact_A_Study_of_Bias_in_Recidivism_Prediction_Instruments</w:t>
        </w:r>
      </w:hyperlink>
      <w:r w:rsidDel="00000000" w:rsidR="00000000" w:rsidRPr="00000000">
        <w:rPr>
          <w:rtl w:val="0"/>
        </w:rPr>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Machine Learning, </w:t>
      </w:r>
      <w:hyperlink r:id="rId61">
        <w:r w:rsidDel="00000000" w:rsidR="00000000" w:rsidRPr="00000000">
          <w:rPr>
            <w:rFonts w:ascii="Google Sans" w:cs="Google Sans" w:eastAsia="Google Sans" w:hAnsi="Google Sans"/>
            <w:color w:val="0000ee"/>
            <w:sz w:val="24"/>
            <w:szCs w:val="24"/>
            <w:u w:val="single"/>
            <w:rtl w:val="0"/>
          </w:rPr>
          <w:t xml:space="preserve">http://www.cs.toronto.edu/~guerzhoy/201s19/lec/W06/fairness.pdf</w:t>
        </w:r>
      </w:hyperlink>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Bias: There's Software Used Across the Country to Predict, </w:t>
      </w:r>
      <w:hyperlink r:id="rId62">
        <w:r w:rsidDel="00000000" w:rsidR="00000000" w:rsidRPr="00000000">
          <w:rPr>
            <w:rFonts w:ascii="Google Sans" w:cs="Google Sans" w:eastAsia="Google Sans" w:hAnsi="Google Sans"/>
            <w:color w:val="0000ee"/>
            <w:sz w:val="24"/>
            <w:szCs w:val="24"/>
            <w:u w:val="single"/>
            <w:rtl w:val="0"/>
          </w:rPr>
          <w:t xml:space="preserve">https://www.reddit.com/r/datascience/comments/4kol01/machine_bias_theres_software_used_across_the/</w:t>
        </w:r>
      </w:hyperlink>
      <w:r w:rsidDel="00000000" w:rsidR="00000000" w:rsidRPr="00000000">
        <w:rPr>
          <w:rtl w:val="0"/>
        </w:rPr>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LAW: Use of Risk Assessment Tools in Sentencing, </w:t>
      </w:r>
      <w:hyperlink r:id="rId63">
        <w:r w:rsidDel="00000000" w:rsidR="00000000" w:rsidRPr="00000000">
          <w:rPr>
            <w:rFonts w:ascii="Google Sans" w:cs="Google Sans" w:eastAsia="Google Sans" w:hAnsi="Google Sans"/>
            <w:color w:val="0000ee"/>
            <w:sz w:val="24"/>
            <w:szCs w:val="24"/>
            <w:u w:val="single"/>
            <w:rtl w:val="0"/>
          </w:rPr>
          <w:t xml:space="preserve">https://www.nlrg.com/criminal-law-legal-research/criminal-law-use-of-risk-assessment-tools-in-sentencing-upheld-.-.-.-for-now</w:t>
        </w:r>
      </w:hyperlink>
      <w:r w:rsidDel="00000000" w:rsidR="00000000" w:rsidRPr="00000000">
        <w:rPr>
          <w:rtl w:val="0"/>
        </w:rPr>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State v Loomis: Artificial intelligence ... - InK@SMU.edu.sg, </w:t>
      </w:r>
      <w:hyperlink r:id="rId64">
        <w:r w:rsidDel="00000000" w:rsidR="00000000" w:rsidRPr="00000000">
          <w:rPr>
            <w:rFonts w:ascii="Google Sans" w:cs="Google Sans" w:eastAsia="Google Sans" w:hAnsi="Google Sans"/>
            <w:color w:val="0000ee"/>
            <w:sz w:val="24"/>
            <w:szCs w:val="24"/>
            <w:u w:val="single"/>
            <w:rtl w:val="0"/>
          </w:rPr>
          <w:t xml:space="preserve">https://ink.library.smu.edu.sg/context/sol_research/article/6363/viewcontent/Microsoft_Word___2019.01_Beyond_State_v._Loomis__Artificial_Intelligence__Government_Algorithmization__and_Accountability_SSRN.docx.pdf</w:t>
        </w:r>
      </w:hyperlink>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ProPublica's COMPAS Data Revisited - arXiv, </w:t>
      </w:r>
      <w:hyperlink r:id="rId65">
        <w:r w:rsidDel="00000000" w:rsidR="00000000" w:rsidRPr="00000000">
          <w:rPr>
            <w:rFonts w:ascii="Google Sans" w:cs="Google Sans" w:eastAsia="Google Sans" w:hAnsi="Google Sans"/>
            <w:color w:val="0000ee"/>
            <w:sz w:val="24"/>
            <w:szCs w:val="24"/>
            <w:u w:val="single"/>
            <w:rtl w:val="0"/>
          </w:rPr>
          <w:t xml:space="preserve">https://arxiv.org/html/1906.04711v3</w:t>
        </w:r>
      </w:hyperlink>
      <w:r w:rsidDel="00000000" w:rsidR="00000000" w:rsidRPr="00000000">
        <w:rPr>
          <w:rtl w:val="0"/>
        </w:rPr>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COMPAS Algorithm Reportedly Performs Poorly in Crime, </w:t>
      </w:r>
      <w:hyperlink r:id="rId66">
        <w:r w:rsidDel="00000000" w:rsidR="00000000" w:rsidRPr="00000000">
          <w:rPr>
            <w:rFonts w:ascii="Google Sans" w:cs="Google Sans" w:eastAsia="Google Sans" w:hAnsi="Google Sans"/>
            <w:color w:val="0000ee"/>
            <w:sz w:val="24"/>
            <w:szCs w:val="24"/>
            <w:u w:val="single"/>
            <w:rtl w:val="0"/>
          </w:rPr>
          <w:t xml:space="preserve">https://incidentdatabase.ai/cite/40/</w:t>
        </w:r>
      </w:hyperlink>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Analyzed the COMPAS Recidivism Algorithm - ProPublica, </w:t>
      </w:r>
      <w:hyperlink r:id="rId67">
        <w:r w:rsidDel="00000000" w:rsidR="00000000" w:rsidRPr="00000000">
          <w:rPr>
            <w:rFonts w:ascii="Google Sans" w:cs="Google Sans" w:eastAsia="Google Sans" w:hAnsi="Google Sans"/>
            <w:color w:val="0000ee"/>
            <w:sz w:val="24"/>
            <w:szCs w:val="24"/>
            <w:u w:val="single"/>
            <w:rtl w:val="0"/>
          </w:rPr>
          <w:t xml:space="preserve">https://www.propublica.org/article/how-we-analyzed-the-compas-recidivism-algorithm</w:t>
        </w:r>
      </w:hyperlink>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ProPublica's 2016 Compas Bias Study | PDF | Recidivism - Scribd, </w:t>
      </w:r>
      <w:hyperlink r:id="rId68">
        <w:r w:rsidDel="00000000" w:rsidR="00000000" w:rsidRPr="00000000">
          <w:rPr>
            <w:rFonts w:ascii="Google Sans" w:cs="Google Sans" w:eastAsia="Google Sans" w:hAnsi="Google Sans"/>
            <w:color w:val="0000ee"/>
            <w:sz w:val="24"/>
            <w:szCs w:val="24"/>
            <w:u w:val="single"/>
            <w:rtl w:val="0"/>
          </w:rPr>
          <w:t xml:space="preserve">https://www.scribd.com/document/898290609/Machine-Bias-ProPublica</w:t>
        </w:r>
      </w:hyperlink>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v. Loomis - Harvard Law Review, </w:t>
      </w:r>
      <w:hyperlink r:id="rId69">
        <w:r w:rsidDel="00000000" w:rsidR="00000000" w:rsidRPr="00000000">
          <w:rPr>
            <w:rFonts w:ascii="Google Sans" w:cs="Google Sans" w:eastAsia="Google Sans" w:hAnsi="Google Sans"/>
            <w:color w:val="0000ee"/>
            <w:sz w:val="24"/>
            <w:szCs w:val="24"/>
            <w:u w:val="single"/>
            <w:rtl w:val="0"/>
          </w:rPr>
          <w:t xml:space="preserve">https://harvardlawreview.org/print/vol-130/state-v-loomis/</w:t>
        </w:r>
      </w:hyperlink>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Bias: A Survey of Issues - ResearchGate,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https://www.researchgate.net/publication/383009746_Machine_Bias_A_Survey_of_Issues</w:t>
        </w:r>
      </w:hyperlink>
      <w:r w:rsidDel="00000000" w:rsidR="00000000" w:rsidRPr="00000000">
        <w:rPr>
          <w:rtl w:val="0"/>
        </w:rPr>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Vorausschauende Polizeiarbeit und Racial Profiling - libra, </w:t>
      </w:r>
      <w:hyperlink r:id="rId71">
        <w:r w:rsidDel="00000000" w:rsidR="00000000" w:rsidRPr="00000000">
          <w:rPr>
            <w:rFonts w:ascii="Google Sans" w:cs="Google Sans" w:eastAsia="Google Sans" w:hAnsi="Google Sans"/>
            <w:color w:val="0000ee"/>
            <w:sz w:val="24"/>
            <w:szCs w:val="24"/>
            <w:u w:val="single"/>
            <w:rtl w:val="0"/>
          </w:rPr>
          <w:t xml:space="preserve">https://libra.unine.ch/bitstreams/45342fa4-b074-4279-8085-3bd56d04bb9c/download</w:t>
        </w:r>
      </w:hyperlink>
      <w:r w:rsidDel="00000000" w:rsidR="00000000" w:rsidRPr="00000000">
        <w:rPr>
          <w:rtl w:val="0"/>
        </w:rPr>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13.2. Pillar 1: Mitigating Unintended Consequences, </w:t>
      </w:r>
      <w:hyperlink r:id="rId72">
        <w:r w:rsidDel="00000000" w:rsidR="00000000" w:rsidRPr="00000000">
          <w:rPr>
            <w:rFonts w:ascii="Google Sans" w:cs="Google Sans" w:eastAsia="Google Sans" w:hAnsi="Google Sans"/>
            <w:color w:val="0000ee"/>
            <w:sz w:val="24"/>
            <w:szCs w:val="24"/>
            <w:u w:val="single"/>
            <w:rtl w:val="0"/>
          </w:rPr>
          <w:t xml:space="preserve">https://ds1.datascience.uchicago.edu/14/2/pillar1.html</w:t>
        </w:r>
      </w:hyperlink>
      <w:r w:rsidDel="00000000" w:rsidR="00000000" w:rsidRPr="00000000">
        <w:rPr>
          <w:rtl w:val="0"/>
        </w:rPr>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prediction with disparate impact: A study of bias in recidivism,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https://www.researchgate.net/publication/314153531_Fair_prediction_with_disparate_impact_A_study_of_bias_in_recidivism_prediction_instruments</w:t>
        </w:r>
      </w:hyperlink>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Human + Machine Complementarity for Recidivism, </w:t>
      </w:r>
      <w:hyperlink r:id="rId74">
        <w:r w:rsidDel="00000000" w:rsidR="00000000" w:rsidRPr="00000000">
          <w:rPr>
            <w:rFonts w:ascii="Google Sans" w:cs="Google Sans" w:eastAsia="Google Sans" w:hAnsi="Google Sans"/>
            <w:color w:val="0000ee"/>
            <w:sz w:val="24"/>
            <w:szCs w:val="24"/>
            <w:u w:val="single"/>
            <w:rtl w:val="0"/>
          </w:rPr>
          <w:t xml:space="preserve">https://arxiv.org/html/1808.09123v2</w:t>
        </w:r>
      </w:hyperlink>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Due Process: Mistaken Accountability and Attribution in, </w:t>
      </w:r>
      <w:hyperlink r:id="rId75">
        <w:r w:rsidDel="00000000" w:rsidR="00000000" w:rsidRPr="00000000">
          <w:rPr>
            <w:rFonts w:ascii="Google Sans" w:cs="Google Sans" w:eastAsia="Google Sans" w:hAnsi="Google Sans"/>
            <w:color w:val="0000ee"/>
            <w:sz w:val="24"/>
            <w:szCs w:val="24"/>
            <w:u w:val="single"/>
            <w:rtl w:val="0"/>
          </w:rPr>
          <w:t xml:space="preserve">https://jolt.law.harvard.edu/digest/algorithmic-due-process-mistaken-accountability-and-attribution-in-state-v-loomis-1</w:t>
        </w:r>
      </w:hyperlink>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and Algorithms : State v. Loomis | H2O - Open Casebooks, </w:t>
      </w:r>
      <w:hyperlink r:id="rId76">
        <w:r w:rsidDel="00000000" w:rsidR="00000000" w:rsidRPr="00000000">
          <w:rPr>
            <w:rFonts w:ascii="Google Sans" w:cs="Google Sans" w:eastAsia="Google Sans" w:hAnsi="Google Sans"/>
            <w:color w:val="0000ee"/>
            <w:sz w:val="24"/>
            <w:szCs w:val="24"/>
            <w:u w:val="single"/>
            <w:rtl w:val="0"/>
          </w:rPr>
          <w:t xml:space="preserve">https://opencasebook.org/casebooks/2606-law-and-algorithms/resources/5.1-state-v-loomis/</w:t>
        </w:r>
      </w:hyperlink>
      <w:r w:rsidDel="00000000" w:rsidR="00000000" w:rsidRPr="00000000">
        <w:rPr>
          <w:rtl w:val="0"/>
        </w:rPr>
      </w:r>
    </w:p>
    <w:p w:rsidR="00000000" w:rsidDel="00000000" w:rsidP="00000000" w:rsidRDefault="00000000" w:rsidRPr="00000000" w14:paraId="000001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prediction with disparate impact - arXiv, </w:t>
      </w:r>
      <w:hyperlink r:id="rId77">
        <w:r w:rsidDel="00000000" w:rsidR="00000000" w:rsidRPr="00000000">
          <w:rPr>
            <w:rFonts w:ascii="Google Sans" w:cs="Google Sans" w:eastAsia="Google Sans" w:hAnsi="Google Sans"/>
            <w:color w:val="0000ee"/>
            <w:sz w:val="24"/>
            <w:szCs w:val="24"/>
            <w:u w:val="single"/>
            <w:rtl w:val="0"/>
          </w:rPr>
          <w:t xml:space="preserve">https://arxiv.org/pdf/1703.0056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17.png"/><Relationship Id="rId41" Type="http://schemas.openxmlformats.org/officeDocument/2006/relationships/image" Target="media/image40.png"/><Relationship Id="rId44" Type="http://schemas.openxmlformats.org/officeDocument/2006/relationships/image" Target="media/image30.png"/><Relationship Id="rId43" Type="http://schemas.openxmlformats.org/officeDocument/2006/relationships/image" Target="media/image15.png"/><Relationship Id="rId46" Type="http://schemas.openxmlformats.org/officeDocument/2006/relationships/image" Target="media/image13.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7.png"/><Relationship Id="rId47" Type="http://schemas.openxmlformats.org/officeDocument/2006/relationships/image" Target="media/image34.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28.png"/><Relationship Id="rId8" Type="http://schemas.openxmlformats.org/officeDocument/2006/relationships/image" Target="media/image22.png"/><Relationship Id="rId73" Type="http://schemas.openxmlformats.org/officeDocument/2006/relationships/hyperlink" Target="https://www.researchgate.net/publication/314153531_Fair_prediction_with_disparate_impact_A_study_of_bias_in_recidivism_prediction_instruments" TargetMode="External"/><Relationship Id="rId72" Type="http://schemas.openxmlformats.org/officeDocument/2006/relationships/hyperlink" Target="https://ds1.datascience.uchicago.edu/14/2/pillar1.html" TargetMode="External"/><Relationship Id="rId31" Type="http://schemas.openxmlformats.org/officeDocument/2006/relationships/image" Target="media/image24.png"/><Relationship Id="rId75" Type="http://schemas.openxmlformats.org/officeDocument/2006/relationships/hyperlink" Target="https://jolt.law.harvard.edu/digest/algorithmic-due-process-mistaken-accountability-and-attribution-in-state-v-loomis-1" TargetMode="External"/><Relationship Id="rId30" Type="http://schemas.openxmlformats.org/officeDocument/2006/relationships/image" Target="media/image7.png"/><Relationship Id="rId74" Type="http://schemas.openxmlformats.org/officeDocument/2006/relationships/hyperlink" Target="https://arxiv.org/html/1808.09123v2" TargetMode="External"/><Relationship Id="rId33" Type="http://schemas.openxmlformats.org/officeDocument/2006/relationships/image" Target="media/image3.png"/><Relationship Id="rId77" Type="http://schemas.openxmlformats.org/officeDocument/2006/relationships/hyperlink" Target="https://arxiv.org/pdf/1703.0056" TargetMode="External"/><Relationship Id="rId32" Type="http://schemas.openxmlformats.org/officeDocument/2006/relationships/image" Target="media/image10.png"/><Relationship Id="rId76" Type="http://schemas.openxmlformats.org/officeDocument/2006/relationships/hyperlink" Target="https://opencasebook.org/casebooks/2606-law-and-algorithms/resources/5.1-state-v-loomis/" TargetMode="External"/><Relationship Id="rId35" Type="http://schemas.openxmlformats.org/officeDocument/2006/relationships/image" Target="media/image9.png"/><Relationship Id="rId34" Type="http://schemas.openxmlformats.org/officeDocument/2006/relationships/image" Target="media/image6.png"/><Relationship Id="rId71" Type="http://schemas.openxmlformats.org/officeDocument/2006/relationships/hyperlink" Target="https://libra.unine.ch/bitstreams/45342fa4-b074-4279-8085-3bd56d04bb9c/download" TargetMode="External"/><Relationship Id="rId70" Type="http://schemas.openxmlformats.org/officeDocument/2006/relationships/hyperlink" Target="https://www.researchgate.net/publication/383009746_Machine_Bias_A_Survey_of_Issues" TargetMode="External"/><Relationship Id="rId37" Type="http://schemas.openxmlformats.org/officeDocument/2006/relationships/image" Target="media/image4.png"/><Relationship Id="rId36" Type="http://schemas.openxmlformats.org/officeDocument/2006/relationships/image" Target="media/image8.png"/><Relationship Id="rId39" Type="http://schemas.openxmlformats.org/officeDocument/2006/relationships/image" Target="media/image1.png"/><Relationship Id="rId38" Type="http://schemas.openxmlformats.org/officeDocument/2006/relationships/image" Target="media/image29.png"/><Relationship Id="rId62" Type="http://schemas.openxmlformats.org/officeDocument/2006/relationships/hyperlink" Target="https://www.reddit.com/r/datascience/comments/4kol01/machine_bias_theres_software_used_across_the/" TargetMode="External"/><Relationship Id="rId61" Type="http://schemas.openxmlformats.org/officeDocument/2006/relationships/hyperlink" Target="http://www.cs.toronto.edu/~guerzhoy/201s19/lec/W06/fairness.pdf" TargetMode="External"/><Relationship Id="rId20" Type="http://schemas.openxmlformats.org/officeDocument/2006/relationships/image" Target="media/image42.png"/><Relationship Id="rId64" Type="http://schemas.openxmlformats.org/officeDocument/2006/relationships/hyperlink" Target="https://ink.library.smu.edu.sg/context/sol_research/article/6363/viewcontent/Microsoft_Word___2019.01_Beyond_State_v._Loomis__Artificial_Intelligence__Government_Algorithmization__and_Accountability_SSRN.docx.pdf" TargetMode="External"/><Relationship Id="rId63" Type="http://schemas.openxmlformats.org/officeDocument/2006/relationships/hyperlink" Target="https://www.nlrg.com/criminal-law-legal-research/criminal-law-use-of-risk-assessment-tools-in-sentencing-upheld-.-.-.-for-now" TargetMode="External"/><Relationship Id="rId22" Type="http://schemas.openxmlformats.org/officeDocument/2006/relationships/image" Target="media/image25.png"/><Relationship Id="rId66" Type="http://schemas.openxmlformats.org/officeDocument/2006/relationships/hyperlink" Target="https://incidentdatabase.ai/cite/40/" TargetMode="External"/><Relationship Id="rId21" Type="http://schemas.openxmlformats.org/officeDocument/2006/relationships/image" Target="media/image37.png"/><Relationship Id="rId65" Type="http://schemas.openxmlformats.org/officeDocument/2006/relationships/hyperlink" Target="https://arxiv.org/html/1906.04711v3" TargetMode="External"/><Relationship Id="rId24" Type="http://schemas.openxmlformats.org/officeDocument/2006/relationships/image" Target="media/image39.png"/><Relationship Id="rId68" Type="http://schemas.openxmlformats.org/officeDocument/2006/relationships/hyperlink" Target="https://www.scribd.com/document/898290609/Machine-Bias-ProPublica" TargetMode="External"/><Relationship Id="rId23" Type="http://schemas.openxmlformats.org/officeDocument/2006/relationships/image" Target="media/image38.png"/><Relationship Id="rId67" Type="http://schemas.openxmlformats.org/officeDocument/2006/relationships/hyperlink" Target="https://www.propublica.org/article/how-we-analyzed-the-compas-recidivism-algorithm" TargetMode="External"/><Relationship Id="rId60" Type="http://schemas.openxmlformats.org/officeDocument/2006/relationships/hyperlink" Target="https://www.researchgate.net/publication/309402975_Fair_Prediction_with_Disparate_Impact_A_Study_of_Bias_in_Recidivism_Prediction_Instruments" TargetMode="External"/><Relationship Id="rId26" Type="http://schemas.openxmlformats.org/officeDocument/2006/relationships/image" Target="media/image12.png"/><Relationship Id="rId25" Type="http://schemas.openxmlformats.org/officeDocument/2006/relationships/image" Target="media/image11.png"/><Relationship Id="rId69" Type="http://schemas.openxmlformats.org/officeDocument/2006/relationships/hyperlink" Target="https://harvardlawreview.org/print/vol-130/state-v-loomis/" TargetMode="External"/><Relationship Id="rId28" Type="http://schemas.openxmlformats.org/officeDocument/2006/relationships/image" Target="media/image19.png"/><Relationship Id="rId27" Type="http://schemas.openxmlformats.org/officeDocument/2006/relationships/image" Target="media/image18.png"/><Relationship Id="rId29" Type="http://schemas.openxmlformats.org/officeDocument/2006/relationships/image" Target="media/image21.png"/><Relationship Id="rId51" Type="http://schemas.openxmlformats.org/officeDocument/2006/relationships/image" Target="media/image26.png"/><Relationship Id="rId50" Type="http://schemas.openxmlformats.org/officeDocument/2006/relationships/image" Target="media/image20.png"/><Relationship Id="rId53" Type="http://schemas.openxmlformats.org/officeDocument/2006/relationships/hyperlink" Target="https://www.kaggle.com/datasets/danofer/compass/data" TargetMode="External"/><Relationship Id="rId52" Type="http://schemas.openxmlformats.org/officeDocument/2006/relationships/image" Target="media/image16.png"/><Relationship Id="rId11" Type="http://schemas.openxmlformats.org/officeDocument/2006/relationships/image" Target="media/image46.png"/><Relationship Id="rId55" Type="http://schemas.openxmlformats.org/officeDocument/2006/relationships/hyperlink" Target="https://www.propublica.org/article/machine-bias-risk-assessments-in-criminal-sentencing" TargetMode="External"/><Relationship Id="rId10" Type="http://schemas.openxmlformats.org/officeDocument/2006/relationships/image" Target="media/image33.png"/><Relationship Id="rId54" Type="http://schemas.openxmlformats.org/officeDocument/2006/relationships/hyperlink" Target="https://scholarship.law.duke.edu/cgi/viewcontent.cgi?article=7083&amp;context=faculty_scholarship" TargetMode="External"/><Relationship Id="rId13" Type="http://schemas.openxmlformats.org/officeDocument/2006/relationships/image" Target="media/image45.png"/><Relationship Id="rId57" Type="http://schemas.openxmlformats.org/officeDocument/2006/relationships/hyperlink" Target="https://pmc.ncbi.nlm.nih.gov/articles/PMC5777393/" TargetMode="External"/><Relationship Id="rId12" Type="http://schemas.openxmlformats.org/officeDocument/2006/relationships/image" Target="media/image44.png"/><Relationship Id="rId56" Type="http://schemas.openxmlformats.org/officeDocument/2006/relationships/hyperlink" Target="https://hrlr.law.columbia.edu/hrlr-online/reprogramming-fairness-affirmative-action-in-algorithmic-criminal-sentencing/" TargetMode="External"/><Relationship Id="rId15" Type="http://schemas.openxmlformats.org/officeDocument/2006/relationships/image" Target="media/image36.png"/><Relationship Id="rId59" Type="http://schemas.openxmlformats.org/officeDocument/2006/relationships/hyperlink" Target="https://arxiv.org/abs/1609.05807" TargetMode="External"/><Relationship Id="rId14" Type="http://schemas.openxmlformats.org/officeDocument/2006/relationships/image" Target="media/image5.png"/><Relationship Id="rId58" Type="http://schemas.openxmlformats.org/officeDocument/2006/relationships/hyperlink" Target="https://medium.com/@lamdaa/compas-unfair-algorithm-812702ed6a6a" TargetMode="External"/><Relationship Id="rId17" Type="http://schemas.openxmlformats.org/officeDocument/2006/relationships/image" Target="media/image41.png"/><Relationship Id="rId16" Type="http://schemas.openxmlformats.org/officeDocument/2006/relationships/image" Target="media/image47.png"/><Relationship Id="rId19" Type="http://schemas.openxmlformats.org/officeDocument/2006/relationships/image" Target="media/image3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