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2 — FINTECH DOMAIN &amp; SOFTWARE DEVELOPMENT FUNDAMENTALS</w:t>
      </w:r>
    </w:p>
    <w:p>
      <w:pPr>
        <w:jc w:val="center"/>
      </w:pPr>
      <w:r>
        <w:rPr>
          <w:b/>
          <w:sz w:val="26"/>
        </w:rPr>
        <w:t>Assignment 1: Stock Market Fundamentals + Financial Statement Analysis</w:t>
      </w:r>
    </w:p>
    <w:p>
      <w:pPr>
        <w:jc w:val="center"/>
      </w:pPr>
      <w:r>
        <w:rPr>
          <w:i/>
        </w:rPr>
        <w:t>Company analysed: Reliance Industries Limited (RIL) | FY 2025–26</w:t>
      </w:r>
    </w:p>
    <w:p>
      <w:r>
        <w:rPr>
          <w:b/>
          <w:sz w:val="23"/>
        </w:rPr>
        <w:t>A. One-Page Stock Market Summary</w:t>
      </w:r>
    </w:p>
    <w:p>
      <w:pPr>
        <w:spacing w:after="60"/>
      </w:pPr>
      <w:r>
        <w:rPr>
          <w:sz w:val="18"/>
        </w:rPr>
        <w:t>Stock market: A marketplace where shares and other securities of companies are bought and sold. In India, trading is primarily conducted through exchanges such as NSE and BSE.</w:t>
      </w:r>
    </w:p>
    <w:p>
      <w:pPr>
        <w:spacing w:after="60"/>
      </w:pPr>
      <w:r>
        <w:rPr>
          <w:sz w:val="18"/>
        </w:rPr>
        <w:t>NSE &amp; BSE: The National Stock Exchange and BSE Ltd. are India's two major stock exchanges. They provide electronic trading infrastructure, market data and mechanisms for price discovery.</w:t>
      </w:r>
    </w:p>
    <w:p>
      <w:pPr>
        <w:spacing w:after="60"/>
      </w:pPr>
      <w:r>
        <w:rPr>
          <w:sz w:val="18"/>
        </w:rPr>
        <w:t>Nifty &amp; Sensex: NIFTY 50 is a benchmark index of the National Stock Exchange comprising 50 major listed companies. Sensex is the benchmark index of BSE consisting of 30 large, actively traded companies.</w:t>
      </w:r>
    </w:p>
    <w:p>
      <w:pPr>
        <w:spacing w:after="60"/>
      </w:pPr>
      <w:r>
        <w:rPr>
          <w:sz w:val="18"/>
        </w:rPr>
        <w:t>IPO &amp; SME IPO: An Initial Public Offering is the process through which a company offers shares to the public for the first time. An SME IPO is an IPO for a small or medium enterprise under the SME platform, subject to applicable exchange and regulatory requirements.</w:t>
      </w:r>
    </w:p>
    <w:p>
      <w:pPr>
        <w:spacing w:after="60"/>
      </w:pPr>
      <w:r>
        <w:rPr>
          <w:sz w:val="18"/>
        </w:rPr>
        <w:t>Market Capitalization: The market value of a company's equity, generally calculated as share price × total outstanding shares. It is commonly used to classify companies as large-, mid- or small-cap.</w:t>
      </w:r>
    </w:p>
    <w:p>
      <w:pPr>
        <w:spacing w:after="60"/>
      </w:pPr>
      <w:r>
        <w:rPr>
          <w:sz w:val="18"/>
        </w:rPr>
        <w:t>PE Ratio: Price-to-Earnings ratio compares a share's market price with earnings per share. It helps investors assess how much the market is paying for a unit of earnings.</w:t>
      </w:r>
    </w:p>
    <w:p>
      <w:pPr>
        <w:spacing w:after="60"/>
      </w:pPr>
      <w:r>
        <w:rPr>
          <w:sz w:val="18"/>
        </w:rPr>
        <w:t>PB Ratio: Price-to-Book ratio compares market price with book value per share. It relates market valuation to the accounting value attributable to shareholders.</w:t>
      </w:r>
    </w:p>
    <w:p>
      <w:pPr>
        <w:spacing w:after="60"/>
      </w:pPr>
      <w:r>
        <w:rPr>
          <w:sz w:val="18"/>
        </w:rPr>
        <w:t>EPS: Earnings Per Share represents the profit attributable to each outstanding equity share. Higher EPS can indicate stronger earnings, although it must be interpreted along with growth, capital structure and valuation.</w:t>
      </w:r>
    </w:p>
    <w:p>
      <w:pPr>
        <w:spacing w:after="60"/>
      </w:pPr>
      <w:r>
        <w:rPr>
          <w:sz w:val="18"/>
        </w:rPr>
        <w:t>Dividend: A distribution of part of a company's profits to shareholders. Companies may retain earnings for growth instead of paying all profits as dividends.</w:t>
      </w:r>
    </w:p>
    <w:p>
      <w:pPr>
        <w:spacing w:after="60"/>
      </w:pPr>
      <w:r>
        <w:rPr>
          <w:sz w:val="18"/>
        </w:rPr>
        <w:t>Bonus &amp; Stock Split: A bonus issue gives additional shares to eligible shareholders without a cash payment. A stock split divides existing shares into more shares with a proportionally lower face value; the overall economic value is not automatically increased merely by the split.</w:t>
      </w:r>
    </w:p>
    <w:p>
      <w:pPr>
        <w:spacing w:after="60"/>
      </w:pPr>
      <w:r>
        <w:rPr>
          <w:sz w:val="18"/>
        </w:rPr>
        <w:t>Trading Volume: The number of shares or units traded during a period. High volume often indicates stronger market activity and liquidity.</w:t>
      </w:r>
    </w:p>
    <w:p>
      <w:pPr>
        <w:spacing w:after="60"/>
      </w:pPr>
      <w:r>
        <w:rPr>
          <w:sz w:val="18"/>
        </w:rPr>
        <w:t>Financial Statements: The Balance Sheet reports assets, liabilities and equity at a point in time; the Profit &amp; Loss statement reports income, expenses and profit over a period; the Cash Flow Statement explains cash generated or used by operating, investing and financing activities.</w:t>
      </w:r>
    </w:p>
    <w:p>
      <w:pPr>
        <w:spacing w:after="60"/>
      </w:pPr>
      <w:r>
        <w:rPr>
          <w:sz w:val="18"/>
        </w:rPr>
        <w:t>Basic Financial Ratios: Profit margin measures profit relative to revenue; ROE relates profit to shareholders' equity; ROA relates profit to assets; debt-to-equity compares debt with equity; current ratio compares current assets with current liabilities.</w:t>
      </w:r>
    </w:p>
    <w:p>
      <w:pPr>
        <w:spacing w:after="60"/>
      </w:pPr>
      <w:r>
        <w:rPr>
          <w:sz w:val="18"/>
        </w:rPr>
        <w:t>Note: These concepts are for financial-domain understanding as required by the internship task and are not investment or trading advice.</w:t>
      </w:r>
    </w:p>
    <w:p>
      <w:r>
        <w:rPr>
          <w:b/>
          <w:sz w:val="23"/>
        </w:rPr>
        <w:t>B. Financial Statement Analysis — Reliance Industries Limited</w:t>
      </w:r>
    </w:p>
    <w:p>
      <w:pPr>
        <w:spacing w:after="60"/>
      </w:pPr>
      <w:r>
        <w:rPr>
          <w:sz w:val="18"/>
        </w:rPr>
        <w:t>Reliance Industries Limited is selected because it is a major diversified Indian listed company with substantial operations across Oil-to-Chemicals, Oil &amp; Gas, Retail, Digital Services and New Energy. The analysis below uses the company's FY 2025–26 consolidated reporting and the official Reliance investor-relations materials.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Metric</w:t>
            </w:r>
          </w:p>
        </w:tc>
        <w:tc>
          <w:tcPr>
            <w:tcW w:type="dxa" w:w="2592"/>
          </w:tcPr>
          <w:p>
            <w:r>
              <w:t>FY 2025–26</w:t>
            </w:r>
          </w:p>
        </w:tc>
        <w:tc>
          <w:tcPr>
            <w:tcW w:type="dxa" w:w="2592"/>
          </w:tcPr>
          <w:p>
            <w:r>
              <w:t>FY 2024–25</w:t>
            </w:r>
          </w:p>
        </w:tc>
        <w:tc>
          <w:tcPr>
            <w:tcW w:type="dxa" w:w="2592"/>
          </w:tcPr>
          <w:p>
            <w:r>
              <w:t>Interpretation</w:t>
            </w:r>
          </w:p>
        </w:tc>
      </w:tr>
      <w:tr>
        <w:tc>
          <w:tcPr>
            <w:tcW w:type="dxa" w:w="2592"/>
          </w:tcPr>
          <w:p>
            <w:r>
              <w:rPr>
                <w:sz w:val="14"/>
              </w:rPr>
              <w:t>Revenue / Value of Sales &amp; Services</w:t>
            </w:r>
          </w:p>
        </w:tc>
        <w:tc>
          <w:tcPr>
            <w:tcW w:type="dxa" w:w="2592"/>
          </w:tcPr>
          <w:p>
            <w:r>
              <w:rPr>
                <w:sz w:val="14"/>
              </w:rPr>
              <w:t>₹11,75,919 Cr</w:t>
            </w:r>
          </w:p>
        </w:tc>
        <w:tc>
          <w:tcPr>
            <w:tcW w:type="dxa" w:w="2592"/>
          </w:tcPr>
          <w:p>
            <w:r>
              <w:rPr>
                <w:sz w:val="14"/>
              </w:rPr>
              <w:t>₹10,71,174 Cr</w:t>
            </w:r>
          </w:p>
        </w:tc>
        <w:tc>
          <w:tcPr>
            <w:tcW w:type="dxa" w:w="2592"/>
          </w:tcPr>
          <w:p>
            <w:r>
              <w:rPr>
                <w:sz w:val="14"/>
              </w:rPr>
              <w:t>Revenue increased year-on-year.</w:t>
            </w:r>
          </w:p>
        </w:tc>
      </w:tr>
      <w:tr>
        <w:tc>
          <w:tcPr>
            <w:tcW w:type="dxa" w:w="2592"/>
          </w:tcPr>
          <w:p>
            <w:r>
              <w:rPr>
                <w:sz w:val="14"/>
              </w:rPr>
              <w:t>EBITDA</w:t>
            </w:r>
          </w:p>
        </w:tc>
        <w:tc>
          <w:tcPr>
            <w:tcW w:type="dxa" w:w="2592"/>
          </w:tcPr>
          <w:p>
            <w:r>
              <w:rPr>
                <w:sz w:val="14"/>
              </w:rPr>
              <w:t>₹2,07,911 Cr</w:t>
            </w:r>
          </w:p>
        </w:tc>
        <w:tc>
          <w:tcPr>
            <w:tcW w:type="dxa" w:w="2592"/>
          </w:tcPr>
          <w:p>
            <w:r>
              <w:rPr>
                <w:sz w:val="14"/>
              </w:rPr>
              <w:t>₹1,83,422 Cr</w:t>
            </w:r>
          </w:p>
        </w:tc>
        <w:tc>
          <w:tcPr>
            <w:tcW w:type="dxa" w:w="2592"/>
          </w:tcPr>
          <w:p>
            <w:r>
              <w:rPr>
                <w:sz w:val="14"/>
              </w:rPr>
              <w:t>Operating earnings increased.</w:t>
            </w:r>
          </w:p>
        </w:tc>
      </w:tr>
      <w:tr>
        <w:tc>
          <w:tcPr>
            <w:tcW w:type="dxa" w:w="2592"/>
          </w:tcPr>
          <w:p>
            <w:r>
              <w:rPr>
                <w:sz w:val="14"/>
              </w:rPr>
              <w:t>Profit After Tax</w:t>
            </w:r>
          </w:p>
        </w:tc>
        <w:tc>
          <w:tcPr>
            <w:tcW w:type="dxa" w:w="2592"/>
          </w:tcPr>
          <w:p>
            <w:r>
              <w:rPr>
                <w:sz w:val="14"/>
              </w:rPr>
              <w:t>₹95,754 Cr</w:t>
            </w:r>
          </w:p>
        </w:tc>
        <w:tc>
          <w:tcPr>
            <w:tcW w:type="dxa" w:w="2592"/>
          </w:tcPr>
          <w:p>
            <w:r>
              <w:rPr>
                <w:sz w:val="14"/>
              </w:rPr>
              <w:t>₹81,309 Cr</w:t>
            </w:r>
          </w:p>
        </w:tc>
        <w:tc>
          <w:tcPr>
            <w:tcW w:type="dxa" w:w="2592"/>
          </w:tcPr>
          <w:p>
            <w:r>
              <w:rPr>
                <w:sz w:val="14"/>
              </w:rPr>
              <w:t>PAT increased materially.</w:t>
            </w:r>
          </w:p>
        </w:tc>
      </w:tr>
      <w:tr>
        <w:tc>
          <w:tcPr>
            <w:tcW w:type="dxa" w:w="2592"/>
          </w:tcPr>
          <w:p>
            <w:r>
              <w:rPr>
                <w:sz w:val="14"/>
              </w:rPr>
              <w:t>Net Profit Margin</w:t>
            </w:r>
          </w:p>
        </w:tc>
        <w:tc>
          <w:tcPr>
            <w:tcW w:type="dxa" w:w="2592"/>
          </w:tcPr>
          <w:p>
            <w:r>
              <w:rPr>
                <w:sz w:val="14"/>
              </w:rPr>
              <w:t>8.1%</w:t>
            </w:r>
          </w:p>
        </w:tc>
        <w:tc>
          <w:tcPr>
            <w:tcW w:type="dxa" w:w="2592"/>
          </w:tcPr>
          <w:p>
            <w:r>
              <w:rPr>
                <w:sz w:val="14"/>
              </w:rPr>
              <w:t>7.6%</w:t>
            </w:r>
          </w:p>
        </w:tc>
        <w:tc>
          <w:tcPr>
            <w:tcW w:type="dxa" w:w="2592"/>
          </w:tcPr>
          <w:p>
            <w:r>
              <w:rPr>
                <w:sz w:val="14"/>
              </w:rPr>
              <w:t>Profitability improved.</w:t>
            </w:r>
          </w:p>
        </w:tc>
      </w:tr>
      <w:tr>
        <w:tc>
          <w:tcPr>
            <w:tcW w:type="dxa" w:w="2592"/>
          </w:tcPr>
          <w:p>
            <w:r>
              <w:rPr>
                <w:sz w:val="14"/>
              </w:rPr>
              <w:t>EPS</w:t>
            </w:r>
          </w:p>
        </w:tc>
        <w:tc>
          <w:tcPr>
            <w:tcW w:type="dxa" w:w="2592"/>
          </w:tcPr>
          <w:p>
            <w:r>
              <w:rPr>
                <w:sz w:val="14"/>
              </w:rPr>
              <w:t>₹59.7</w:t>
            </w:r>
          </w:p>
        </w:tc>
        <w:tc>
          <w:tcPr>
            <w:tcW w:type="dxa" w:w="2592"/>
          </w:tcPr>
          <w:p>
            <w:r>
              <w:rPr>
                <w:sz w:val="14"/>
              </w:rPr>
              <w:t>₹51.5</w:t>
            </w:r>
          </w:p>
        </w:tc>
        <w:tc>
          <w:tcPr>
            <w:tcW w:type="dxa" w:w="2592"/>
          </w:tcPr>
          <w:p>
            <w:r>
              <w:rPr>
                <w:sz w:val="14"/>
              </w:rPr>
              <w:t>Earnings per share increased.</w:t>
            </w:r>
          </w:p>
        </w:tc>
      </w:tr>
      <w:tr>
        <w:tc>
          <w:tcPr>
            <w:tcW w:type="dxa" w:w="2592"/>
          </w:tcPr>
          <w:p>
            <w:r>
              <w:rPr>
                <w:sz w:val="14"/>
              </w:rPr>
              <w:t>Net Worth</w:t>
            </w:r>
          </w:p>
        </w:tc>
        <w:tc>
          <w:tcPr>
            <w:tcW w:type="dxa" w:w="2592"/>
          </w:tcPr>
          <w:p>
            <w:r>
              <w:rPr>
                <w:sz w:val="14"/>
              </w:rPr>
              <w:t>₹8,67,828 Cr</w:t>
            </w:r>
          </w:p>
        </w:tc>
        <w:tc>
          <w:tcPr>
            <w:tcW w:type="dxa" w:w="2592"/>
          </w:tcPr>
          <w:p>
            <w:r>
              <w:rPr>
                <w:sz w:val="14"/>
              </w:rPr>
              <w:t>₹7,95,069 Cr</w:t>
            </w:r>
          </w:p>
        </w:tc>
        <w:tc>
          <w:tcPr>
            <w:tcW w:type="dxa" w:w="2592"/>
          </w:tcPr>
          <w:p>
            <w:r>
              <w:rPr>
                <w:sz w:val="14"/>
              </w:rPr>
              <w:t>Shareholders' net worth increased.</w:t>
            </w:r>
          </w:p>
        </w:tc>
      </w:tr>
      <w:tr>
        <w:tc>
          <w:tcPr>
            <w:tcW w:type="dxa" w:w="2592"/>
          </w:tcPr>
          <w:p>
            <w:r>
              <w:rPr>
                <w:sz w:val="14"/>
              </w:rPr>
              <w:t>Total Assets</w:t>
            </w:r>
          </w:p>
        </w:tc>
        <w:tc>
          <w:tcPr>
            <w:tcW w:type="dxa" w:w="2592"/>
          </w:tcPr>
          <w:p>
            <w:r>
              <w:rPr>
                <w:sz w:val="14"/>
              </w:rPr>
              <w:t>₹21,78,140 Cr</w:t>
            </w:r>
          </w:p>
        </w:tc>
        <w:tc>
          <w:tcPr>
            <w:tcW w:type="dxa" w:w="2592"/>
          </w:tcPr>
          <w:p>
            <w:r>
              <w:rPr>
                <w:sz w:val="14"/>
              </w:rPr>
              <w:t>₹19,50,121 Cr</w:t>
            </w:r>
          </w:p>
        </w:tc>
        <w:tc>
          <w:tcPr>
            <w:tcW w:type="dxa" w:w="2592"/>
          </w:tcPr>
          <w:p>
            <w:r>
              <w:rPr>
                <w:sz w:val="14"/>
              </w:rPr>
              <w:t>Asset base expanded.</w:t>
            </w:r>
          </w:p>
        </w:tc>
      </w:tr>
      <w:tr>
        <w:tc>
          <w:tcPr>
            <w:tcW w:type="dxa" w:w="2592"/>
          </w:tcPr>
          <w:p>
            <w:r>
              <w:rPr>
                <w:sz w:val="14"/>
              </w:rPr>
              <w:t>Operating Cash Flow</w:t>
            </w:r>
          </w:p>
        </w:tc>
        <w:tc>
          <w:tcPr>
            <w:tcW w:type="dxa" w:w="2592"/>
          </w:tcPr>
          <w:p>
            <w:r>
              <w:rPr>
                <w:sz w:val="14"/>
              </w:rPr>
              <w:t>₹1,92,113 Cr</w:t>
            </w:r>
          </w:p>
        </w:tc>
        <w:tc>
          <w:tcPr>
            <w:tcW w:type="dxa" w:w="2592"/>
          </w:tcPr>
          <w:p>
            <w:r>
              <w:rPr>
                <w:sz w:val="14"/>
              </w:rPr>
              <w:t>₹1,78,703 Cr</w:t>
            </w:r>
          </w:p>
        </w:tc>
        <w:tc>
          <w:tcPr>
            <w:tcW w:type="dxa" w:w="2592"/>
          </w:tcPr>
          <w:p>
            <w:r>
              <w:rPr>
                <w:sz w:val="14"/>
              </w:rPr>
              <w:t>Strong operating cash generation.</w:t>
            </w:r>
          </w:p>
        </w:tc>
      </w:tr>
    </w:tbl>
    <w:p>
      <w:r>
        <w:rPr>
          <w:b/>
          <w:sz w:val="23"/>
        </w:rPr>
        <w:t>C. Analysis of the Three Financial Statements</w:t>
      </w:r>
    </w:p>
    <w:p>
      <w:pPr>
        <w:spacing w:after="60"/>
      </w:pPr>
      <w:r>
        <w:rPr>
          <w:sz w:val="18"/>
        </w:rPr>
        <w:t>Profit &amp; Loss: Reliance reported consolidated revenue of ₹11,75,919 crore in FY 2025–26, up from ₹10,71,174 crore. EBITDA rose to ₹2,07,911 crore and PAT to ₹95,754 crore. EPS improved to ₹59.7 and net profit margin to 8.1%, indicating stronger profitability at the consolidated level.</w:t>
      </w:r>
    </w:p>
    <w:p>
      <w:pPr>
        <w:spacing w:after="60"/>
      </w:pPr>
      <w:r>
        <w:rPr>
          <w:sz w:val="18"/>
        </w:rPr>
        <w:t>Balance Sheet: Total assets increased to ₹21,78,140 crore from ₹19,50,121 crore, while net worth increased to ₹8,67,828 crore from ₹7,95,069 crore. Reliance's FY 2025–26 financial-performance review reports gross debt of ₹3,74,421 crore and net debt of ₹1,24,717 crore, indicating substantial borrowing alongside a large asset base.</w:t>
      </w:r>
    </w:p>
    <w:p>
      <w:pPr>
        <w:spacing w:after="60"/>
      </w:pPr>
      <w:r>
        <w:rPr>
          <w:sz w:val="18"/>
        </w:rPr>
        <w:t>Cash Flow: Net cash flow from operating activities was ₹1,92,113 crore compared with ₹1,78,703 crore. Investing activities used ₹1,01,089 crore, including large capital expenditure and investment activity. Financing activities used ₹51,549 crore. Net cash increased by ₹39,475 crore to ₹1,45,977 crore at year-end. The positive operating cash flow is important because it shows that the business generated significant cash from operations before investing and financing decisions.</w:t>
      </w:r>
    </w:p>
    <w:p>
      <w:r>
        <w:rPr>
          <w:b/>
          <w:sz w:val="23"/>
        </w:rPr>
        <w:t>D. Ratio-Based Interpretation</w:t>
      </w:r>
    </w:p>
    <w:p>
      <w:pPr>
        <w:spacing w:after="60"/>
      </w:pPr>
      <w:r>
        <w:rPr>
          <w:sz w:val="18"/>
        </w:rPr>
        <w:t>Net Profit Margin = PAT / Revenue ≈ 8.1%, consistent with Reliance's published FY 2025–26 performance indicator. EPS increased from ₹51.5 to ₹59.7, supporting the conclusion that earnings attributable per share improved. The increase in net worth and operating cash flow alongside higher revenue and PAT indicates broad year-on-year strengthening in the consolidated financial profile, although individual business segments performed differently.</w:t>
      </w:r>
    </w:p>
    <w:p>
      <w:pPr>
        <w:spacing w:after="60"/>
      </w:pPr>
      <w:r>
        <w:rPr>
          <w:sz w:val="18"/>
        </w:rPr>
        <w:t>Overall assessment: FY 2025–26 shows higher revenue, EBITDA, PAT, EPS, net worth, assets and operating cash generation. At the same time, the company remains capital intensive, with significant capex and gross debt. Therefore, revenue growth should be interpreted together with profitability, cash generation, leverage and investment requirements.</w:t>
      </w:r>
    </w:p>
    <w:p>
      <w:r>
        <w:rPr>
          <w:b/>
          <w:sz w:val="23"/>
        </w:rPr>
        <w:t>E. Sources</w:t>
      </w:r>
    </w:p>
    <w:p>
      <w:pPr>
        <w:spacing w:after="60"/>
      </w:pPr>
      <w:r>
        <w:rPr>
          <w:sz w:val="18"/>
        </w:rPr>
        <w:t>Reliance Industries Limited, Integrated Annual Report 2025–26 and consolidated financial statements. Official investor-relations sources: www.ril.com. The FY 2025–26 performance indicators report revenue ₹11,75,919 crore, EBITDA ₹2,07,911 crore, PAT ₹95,754 crore, EPS ₹59.7, net worth ₹8,67,828 crore and total assets ₹21,78,140 crore.</w:t>
      </w:r>
    </w:p>
    <w:p>
      <w:pPr>
        <w:spacing w:after="60"/>
      </w:pPr>
      <w:r>
        <w:rPr>
          <w:sz w:val="18"/>
        </w:rPr>
        <w:t>Reliance Industries Limited, Consolidated Statement of Cash Flows for the year ended 31 March 2026: operating cash flow ₹1,92,113 crore, investing cash flow ₹(1,01,089) crore, financing cash flow ₹(51,549) crore and closing cash ₹1,45,977 crore.</w:t>
      </w:r>
    </w:p>
    <w:p>
      <w:pPr>
        <w:spacing w:before="100"/>
      </w:pPr>
      <w:r>
        <w:rPr>
          <w:b/>
          <w:sz w:val="15"/>
        </w:rPr>
        <w:t xml:space="preserve">Web sources: </w:t>
      </w:r>
      <w:r>
        <w:rPr>
          <w:sz w:val="15"/>
        </w:rPr>
        <w:t>RIL Integrated Annual Report 2025–26; RIL Financial Reporting; RIL Consolidated Financial Statements.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