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36"/>
        </w:rPr>
        <w:t>BYZANTIUM INSURANCE PTE. LTD.</w:t>
      </w:r>
    </w:p>
    <w:p>
      <w:pPr>
        <w:jc w:val="center"/>
      </w:pPr>
      <w:r>
        <w:rPr>
          <w:color w:val="444444"/>
          <w:sz w:val="26"/>
        </w:rPr>
        <w:t>Motor Insurance Policy Certificate</w:t>
      </w:r>
    </w:p>
    <w:p/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rPr>
          <w:b/>
          <w:color w:val="1A56DB"/>
        </w:rPr>
        <w:t>POLICY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Policy Number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BYZ-2024-SLD9775A-001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Certificate Number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CERT-SLD9775A-2024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Policy 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Comprehensive Motor Insurance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Insured Name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SMITH, JANE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NRIC / ID Number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S9812381D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 March 1998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Blk 45 Ang Mo Kio Ave 3, #08-22, Singapore 560045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Contact Number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+65 9123 4567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jane.smith@email.com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Policy Issued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15 January 2024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Policy Effective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15 January 2024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Policy Expiry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14 January 2025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Annual Premium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SGD 1,420.00 (inclusive of GST)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Policy Status</w:t>
            </w:r>
          </w:p>
        </w:tc>
        <w:tc>
          <w:tcPr>
            <w:tcW w:type="dxa" w:w="4703"/>
          </w:tcPr>
          <w:p>
            <w:r>
              <w:rPr>
                <w:b/>
                <w:color w:val="059669"/>
                <w:sz w:val="18"/>
              </w:rPr>
              <w:t>ACTIVE</w:t>
            </w:r>
          </w:p>
        </w:tc>
      </w:tr>
    </w:tbl>
    <w:p/>
    <w:p>
      <w:pPr>
        <w:pStyle w:val="Heading2"/>
        <w:jc w:val="left"/>
      </w:pPr>
      <w:r>
        <w:rPr>
          <w:b/>
          <w:color w:val="1A56DB"/>
        </w:rPr>
        <w:t>INSURED VEHICLE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Vehicle Registration No.</w:t>
            </w:r>
          </w:p>
        </w:tc>
        <w:tc>
          <w:tcPr>
            <w:tcW w:type="dxa" w:w="4703"/>
          </w:tcPr>
          <w:p>
            <w:r>
              <w:rPr>
                <w:b/>
                <w:color w:val="1A56DB"/>
                <w:sz w:val="18"/>
              </w:rPr>
              <w:t>SLD9775A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Make / Model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Toyota Vios 1.5G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Year of Manufacture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2019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Engine Capacity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1,497 cc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Vehicle 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Private Saloon Car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Engine No.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2NR-FE-19X04821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Chassis No.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MHFEX59G4K0012345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Colour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Pearl White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Agreed Value / Sum Insured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SGD 52,000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NCD (No-Claim Discount)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Dashcam Installed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 — Front &amp; Rear (Blackvue DR750X)</w:t>
            </w:r>
          </w:p>
        </w:tc>
      </w:tr>
    </w:tbl>
    <w:p/>
    <w:p>
      <w:pPr>
        <w:pStyle w:val="Heading2"/>
        <w:jc w:val="left"/>
      </w:pPr>
      <w:r>
        <w:rPr>
          <w:b/>
          <w:color w:val="1A56DB"/>
        </w:rPr>
        <w:t>NAMED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Driver Name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NRIC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Driving Licence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SMITH, JANE (Principal)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S9812381D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Class 3 — Valid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Named Insured</w:t>
            </w:r>
          </w:p>
        </w:tc>
      </w:tr>
    </w:tbl>
    <w:p/>
    <w:p>
      <w:pPr>
        <w:pStyle w:val="Heading2"/>
        <w:jc w:val="left"/>
      </w:pPr>
      <w:r>
        <w:rPr>
          <w:b/>
          <w:color w:val="1A56DB"/>
        </w:rPr>
        <w:t>SECTION 1 — COVERED EVENTS</w:t>
      </w:r>
    </w:p>
    <w:p>
      <w:pPr>
        <w:pStyle w:val="ListBullet"/>
      </w:pPr>
      <w:r>
        <w:rPr>
          <w:sz w:val="18"/>
        </w:rPr>
        <w:t>Accidental loss or damage to the insured vehicle caused by collision or overturning</w:t>
      </w:r>
    </w:p>
    <w:p>
      <w:pPr>
        <w:pStyle w:val="ListBullet"/>
      </w:pPr>
      <w:r>
        <w:rPr>
          <w:sz w:val="18"/>
        </w:rPr>
        <w:t>Third-party bodily injury or death arising from use of insured vehicle</w:t>
      </w:r>
    </w:p>
    <w:p>
      <w:pPr>
        <w:pStyle w:val="ListBullet"/>
      </w:pPr>
      <w:r>
        <w:rPr>
          <w:sz w:val="18"/>
        </w:rPr>
        <w:t>Third-party property damage arising from use of insured vehicle</w:t>
      </w:r>
    </w:p>
    <w:p>
      <w:pPr>
        <w:pStyle w:val="ListBullet"/>
      </w:pPr>
      <w:r>
        <w:rPr>
          <w:sz w:val="18"/>
        </w:rPr>
        <w:t>Rear-end collision — claimant stationary or in slow-moving traffic</w:t>
      </w:r>
    </w:p>
    <w:p>
      <w:pPr>
        <w:pStyle w:val="ListBullet"/>
      </w:pPr>
      <w:r>
        <w:rPr>
          <w:sz w:val="18"/>
        </w:rPr>
        <w:t>Side-impact (T-bone) or intersection collision where claimant was not the aggressor</w:t>
      </w:r>
    </w:p>
    <w:p>
      <w:pPr>
        <w:pStyle w:val="ListBullet"/>
      </w:pPr>
      <w:r>
        <w:rPr>
          <w:sz w:val="18"/>
        </w:rPr>
        <w:t>Head-on collision where claimant was NOT the primary at-fault driver</w:t>
      </w:r>
    </w:p>
    <w:p>
      <w:pPr>
        <w:pStyle w:val="ListBullet"/>
      </w:pPr>
      <w:r>
        <w:rPr>
          <w:sz w:val="18"/>
        </w:rPr>
        <w:t>Multi-vehicle pile-up involvement</w:t>
      </w:r>
    </w:p>
    <w:p>
      <w:pPr>
        <w:pStyle w:val="ListBullet"/>
      </w:pPr>
      <w:r>
        <w:rPr>
          <w:sz w:val="18"/>
        </w:rPr>
        <w:t>Weather-induced collision (ice, flooding, low-visibility fog, rain)</w:t>
      </w:r>
    </w:p>
    <w:p>
      <w:pPr>
        <w:pStyle w:val="ListBullet"/>
      </w:pPr>
      <w:r>
        <w:rPr>
          <w:sz w:val="18"/>
        </w:rPr>
        <w:t>Hit-and-run by untraced third party (subject to REVIEW and police report)</w:t>
      </w:r>
    </w:p>
    <w:p>
      <w:pPr>
        <w:pStyle w:val="ListBullet"/>
      </w:pPr>
      <w:r>
        <w:rPr>
          <w:sz w:val="18"/>
        </w:rPr>
        <w:t>Fire and theft of the insured vehicle</w:t>
      </w:r>
    </w:p>
    <w:p>
      <w:pPr>
        <w:pStyle w:val="ListBullet"/>
      </w:pPr>
      <w:r>
        <w:rPr>
          <w:sz w:val="18"/>
        </w:rPr>
        <w:t>Flood and storm damage to insured vehicle</w:t>
      </w:r>
    </w:p>
    <w:p/>
    <w:p>
      <w:pPr>
        <w:pStyle w:val="Heading2"/>
        <w:jc w:val="left"/>
      </w:pPr>
      <w:r>
        <w:rPr>
          <w:b/>
          <w:color w:val="1A56DB"/>
        </w:rPr>
        <w:t>SECTION 2 — HARD EXCLUSIONS (Automatic Rejection — No Exceptions)</w:t>
      </w:r>
    </w:p>
    <w:p>
      <w:r>
        <w:rPr>
          <w:b w:val="0"/>
          <w:color w:val="990000"/>
          <w:sz w:val="18"/>
        </w:rPr>
        <w:t>Any claim triggering one or more of the following exclusions will be automatically REJECTED without further assessment.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Exclusion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Consequence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EXCL-01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Claimant was the at-fault driver in a head-on or primary-aggressor collision</w:t>
            </w:r>
          </w:p>
        </w:tc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Auto-REJECT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EXCL-02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Incident occurred in a private car park at high speed (&gt;30 km/h)</w:t>
            </w:r>
          </w:p>
        </w:tc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Auto-REJECT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EXCL-03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Evidence of distracted driving — phone use, reckless behaviour visible in dashcam footage</w:t>
            </w:r>
          </w:p>
        </w:tc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Auto-REJECT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EXCL-04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Vehicle type in footage does not match insured vehicle class (SLD9775A — Private Saloon)</w:t>
            </w:r>
          </w:p>
        </w:tc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Auto-REJECT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EXCL-05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Single-vehicle accident with no identifiable external cause (e.g. self-inflicted, barrier)</w:t>
            </w:r>
          </w:p>
        </w:tc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Auto-REJECT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EXCL-06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Dashcam footage shows pre-existing damage inconsistent with the claimed incident</w:t>
            </w:r>
          </w:p>
        </w:tc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Auto-REJECT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EXCL-07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Claim filed more than 30 calendar days after the date of incident</w:t>
            </w:r>
          </w:p>
        </w:tc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Auto-REJECT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EXCL-08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Claimant identity cannot be verified via approved methods (Terminal 3 / SingPass MyInfo)</w:t>
            </w:r>
          </w:p>
        </w:tc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Auto-REJECT</w:t>
            </w:r>
          </w:p>
        </w:tc>
      </w:tr>
    </w:tbl>
    <w:p/>
    <w:p>
      <w:pPr>
        <w:pStyle w:val="Heading2"/>
        <w:jc w:val="left"/>
      </w:pPr>
      <w:r>
        <w:rPr>
          <w:b/>
          <w:color w:val="1A56DB"/>
        </w:rPr>
        <w:t>SECTION 3 — ASSESSMENT FACTORS (Trust Score Adjustments)</w:t>
      </w:r>
    </w:p>
    <w:p>
      <w:r>
        <w:rPr>
          <w:b w:val="0"/>
          <w:sz w:val="18"/>
        </w:rPr>
        <w:t>These factors are applied by the AI claims officer to adjust the trust score. Score range: 0–1000. APPROVE ≥ 700 | REVIEW 400–699 | REJECT &lt; 400.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Factor Description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Score Delta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A56DB"/>
                <w:sz w:val="18"/>
              </w:rPr>
              <w:t>SOFT-01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Claimant vehicle was stationary at time of impact — strong indicator of non-fault</w:t>
            </w:r>
          </w:p>
        </w:tc>
        <w:tc>
          <w:tcPr>
            <w:tcW w:type="dxa" w:w="3135"/>
          </w:tcPr>
          <w:p>
            <w:r>
              <w:rPr>
                <w:b/>
                <w:color w:val="059669"/>
                <w:sz w:val="18"/>
              </w:rPr>
              <w:t>+100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A56DB"/>
                <w:sz w:val="18"/>
              </w:rPr>
              <w:t>SOFT-02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Adverse weather or significantly reduced visibility at time of incident</w:t>
            </w:r>
          </w:p>
        </w:tc>
        <w:tc>
          <w:tcPr>
            <w:tcW w:type="dxa" w:w="3135"/>
          </w:tcPr>
          <w:p>
            <w:r>
              <w:rPr>
                <w:b/>
                <w:color w:val="059669"/>
                <w:sz w:val="18"/>
              </w:rPr>
              <w:t>+50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A56DB"/>
                <w:sz w:val="18"/>
              </w:rPr>
              <w:t>SOFT-03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Three or more vehicles visible in footage — corroborating evidence</w:t>
            </w:r>
          </w:p>
        </w:tc>
        <w:tc>
          <w:tcPr>
            <w:tcW w:type="dxa" w:w="3135"/>
          </w:tcPr>
          <w:p>
            <w:r>
              <w:rPr>
                <w:b/>
                <w:color w:val="059669"/>
                <w:sz w:val="18"/>
              </w:rPr>
              <w:t>+50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A56DB"/>
                <w:sz w:val="18"/>
              </w:rPr>
              <w:t>SOFT-04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Dashcam clearly shows fault of other party — high evidence quality</w:t>
            </w:r>
          </w:p>
        </w:tc>
        <w:tc>
          <w:tcPr>
            <w:tcW w:type="dxa" w:w="3135"/>
          </w:tcPr>
          <w:p>
            <w:r>
              <w:rPr>
                <w:b/>
                <w:color w:val="059669"/>
                <w:sz w:val="18"/>
              </w:rPr>
              <w:t>+100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A56DB"/>
                <w:sz w:val="18"/>
              </w:rPr>
              <w:t>SOFT-05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Severity LOW with no visible structural damage — reduced payout justification</w:t>
            </w:r>
          </w:p>
        </w:tc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–75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A56DB"/>
                <w:sz w:val="18"/>
              </w:rPr>
              <w:t>SOFT-06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Night-time incident with poor dashcam footage quality — reduced evidence confidence</w:t>
            </w:r>
          </w:p>
        </w:tc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–50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A56DB"/>
                <w:sz w:val="18"/>
              </w:rPr>
              <w:t>SOFT-07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Hit-and-run — offending vehicle fled, no second party identifiable (REVIEW required)</w:t>
            </w:r>
          </w:p>
        </w:tc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–100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A56DB"/>
                <w:sz w:val="18"/>
              </w:rPr>
              <w:t>SOFT-08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Single vehicle incident without clear external cause — suspicious</w:t>
            </w:r>
          </w:p>
        </w:tc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–150</w:t>
            </w:r>
          </w:p>
        </w:tc>
      </w:tr>
    </w:tbl>
    <w:p/>
    <w:p>
      <w:pPr>
        <w:pStyle w:val="Heading2"/>
        <w:jc w:val="left"/>
      </w:pPr>
      <w:r>
        <w:rPr>
          <w:b/>
          <w:color w:val="1A56DB"/>
        </w:rPr>
        <w:t>SECTION 4 — PAYOUT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Maximum Single Claim Payout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Conditions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SGD 15,000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Major structural damage, airbag deployment, write-off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SGD 5,000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Moderate damage, panel deformation, repairable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059669"/>
                <w:sz w:val="18"/>
              </w:rPr>
              <w:t>LOW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SGD 1,000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Minor damage, scratches, dents — no structural impact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666666"/>
                <w:sz w:val="18"/>
              </w:rPr>
              <w:t>NONE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SGD 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collision confirmed — claim rejected or not applicable</w:t>
            </w:r>
          </w:p>
        </w:tc>
      </w:tr>
    </w:tbl>
    <w:p>
      <w:r>
        <w:rPr>
          <w:i/>
          <w:color w:val="777777"/>
          <w:sz w:val="16"/>
        </w:rPr>
        <w:t>Annual claim limit: SGD 25,000 per policy. Multiple claims within 30 days are subject to fraud review.</w:t>
      </w:r>
    </w:p>
    <w:p/>
    <w:p>
      <w:pPr>
        <w:pStyle w:val="Heading2"/>
        <w:jc w:val="left"/>
      </w:pPr>
      <w:r>
        <w:rPr>
          <w:b/>
          <w:color w:val="1A56DB"/>
        </w:rPr>
        <w:t>SECTION 5 — COVERAGE CONDITIONS</w:t>
      </w:r>
    </w:p>
    <w:p>
      <w:pPr>
        <w:ind w:left="0"/>
      </w:pPr>
      <w:r>
        <w:rPr>
          <w:b/>
          <w:color w:val="1A56DB"/>
          <w:sz w:val="18"/>
        </w:rPr>
        <w:t xml:space="preserve">COND-01  </w:t>
      </w:r>
      <w:r>
        <w:rPr>
          <w:sz w:val="18"/>
        </w:rPr>
        <w:t>This policy must be active and in-force at the date and time of the incident.</w:t>
      </w:r>
    </w:p>
    <w:p>
      <w:pPr>
        <w:ind w:left="0"/>
      </w:pPr>
      <w:r>
        <w:rPr>
          <w:b/>
          <w:color w:val="1A56DB"/>
          <w:sz w:val="18"/>
        </w:rPr>
        <w:t xml:space="preserve">COND-02  </w:t>
      </w:r>
      <w:r>
        <w:rPr>
          <w:sz w:val="18"/>
        </w:rPr>
        <w:t>Only the named insured (Jane Smith, S9812381D) or a listed additional driver may operate the insured vehicle.</w:t>
      </w:r>
    </w:p>
    <w:p>
      <w:pPr>
        <w:ind w:left="0"/>
      </w:pPr>
      <w:r>
        <w:rPr>
          <w:b/>
          <w:color w:val="1A56DB"/>
          <w:sz w:val="18"/>
        </w:rPr>
        <w:t xml:space="preserve">COND-03  </w:t>
      </w:r>
      <w:r>
        <w:rPr>
          <w:sz w:val="18"/>
        </w:rPr>
        <w:t>All incidents must be reported to Byzantium Insurance within 30 calendar days of occurrence.</w:t>
      </w:r>
    </w:p>
    <w:p>
      <w:pPr>
        <w:ind w:left="0"/>
      </w:pPr>
      <w:r>
        <w:rPr>
          <w:b/>
          <w:color w:val="1A56DB"/>
          <w:sz w:val="18"/>
        </w:rPr>
        <w:t xml:space="preserve">COND-04  </w:t>
      </w:r>
      <w:r>
        <w:rPr>
          <w:sz w:val="18"/>
        </w:rPr>
        <w:t>Dashcam footage submitted must be original, unedited, and timestamped from the incident vehicle (SLD9775A).</w:t>
      </w:r>
    </w:p>
    <w:p>
      <w:pPr>
        <w:ind w:left="0"/>
      </w:pPr>
      <w:r>
        <w:rPr>
          <w:b/>
          <w:color w:val="1A56DB"/>
          <w:sz w:val="18"/>
        </w:rPr>
        <w:t xml:space="preserve">COND-05  </w:t>
      </w:r>
      <w:r>
        <w:rPr>
          <w:sz w:val="18"/>
        </w:rPr>
        <w:t>Claimant identity must be verifiable via Terminal 3 TEE attestation or SingPass MyInfo government data.</w:t>
      </w:r>
    </w:p>
    <w:p>
      <w:pPr>
        <w:ind w:left="0"/>
      </w:pPr>
      <w:r>
        <w:rPr>
          <w:b/>
          <w:color w:val="1A56DB"/>
          <w:sz w:val="18"/>
        </w:rPr>
        <w:t xml:space="preserve">COND-06  </w:t>
      </w:r>
      <w:r>
        <w:rPr>
          <w:sz w:val="18"/>
        </w:rPr>
        <w:t>A valid police report is required for all third-party claims and hit-and-run incidents.</w:t>
      </w:r>
    </w:p>
    <w:p>
      <w:pPr>
        <w:ind w:left="0"/>
      </w:pPr>
      <w:r>
        <w:rPr>
          <w:b/>
          <w:color w:val="1A56DB"/>
          <w:sz w:val="18"/>
        </w:rPr>
        <w:t xml:space="preserve">COND-07  </w:t>
      </w:r>
      <w:r>
        <w:rPr>
          <w:sz w:val="18"/>
        </w:rPr>
        <w:t>The insured vehicle must be roadworthy and hold a valid LTA Certificate of Entitlement (COE).</w:t>
      </w:r>
    </w:p>
    <w:p/>
    <w:p>
      <w:pPr>
        <w:pStyle w:val="Heading2"/>
        <w:jc w:val="left"/>
      </w:pPr>
      <w:r>
        <w:rPr>
          <w:b/>
          <w:color w:val="1A56DB"/>
        </w:rPr>
        <w:t>SECTION 6 — AI CLAIMS DECISION GUIDELINES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Trust Score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Criteria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059669"/>
                <w:sz w:val="18"/>
              </w:rPr>
              <w:t>APPROVE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700 – 1000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hard exclusions triggered. Collision confirmed. Identity verified (T3 score ≥ 75). Dashcam footage of adequate quality. Positive soft factors present.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D97706"/>
                <w:sz w:val="18"/>
              </w:rPr>
              <w:t>REVIEW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400 – 699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Hit-and-run incident (SOFT-07). Borderline fault determination. Poor footage quality. Fraud signals detected (cross-claim checks). Identity borderline (T3 score 75–79).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990000"/>
                <w:sz w:val="18"/>
              </w:rPr>
              <w:t>REJECT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– 399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Any hard exclusion triggered (EXCL-01 to EXCL-08). No collision evidence. Identity unverified. Suspended driving licence. Duplicate claim within 30 days.</w:t>
            </w:r>
          </w:p>
        </w:tc>
      </w:tr>
    </w:tbl>
    <w:p/>
    <w:p>
      <w:pPr>
        <w:pStyle w:val="Heading2"/>
        <w:jc w:val="left"/>
      </w:pPr>
      <w:r>
        <w:rPr>
          <w:b/>
          <w:color w:val="1A56DB"/>
        </w:rPr>
        <w:t>SECTION 7 — AUTOMATED FRAUD DETECTION</w:t>
      </w:r>
    </w:p>
    <w:p>
      <w:r>
        <w:rPr>
          <w:b w:val="0"/>
          <w:sz w:val="18"/>
        </w:rPr>
        <w:t>All claims are subject to real-time cross-claim fraud screening by the Daytona ClaimAgent.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Trigger Condition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D97706"/>
                <w:sz w:val="18"/>
              </w:rPr>
              <w:t>FRAUD-01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Same policy number filed twice within 30 calendar days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Auto-REJECT — hard rule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D97706"/>
                <w:sz w:val="18"/>
              </w:rPr>
              <w:t>FRAUD-02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Second claim on same policy within 24 hours of a prior claim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Force REVIEW + score –200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D97706"/>
                <w:sz w:val="18"/>
              </w:rPr>
              <w:t>FRAUD-03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Same vehicle plate fingerprint detected across multiple distinct claims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Force REVIEW + score –150</w:t>
            </w:r>
          </w:p>
        </w:tc>
      </w:tr>
    </w:tbl>
    <w:p/>
    <w:p>
      <w:pPr>
        <w:pStyle w:val="Heading2"/>
        <w:jc w:val="left"/>
      </w:pPr>
      <w:r>
        <w:rPr>
          <w:b/>
          <w:color w:val="1A56DB"/>
        </w:rPr>
        <w:t>SECTION 8 — CLAIM PROCESSING PIPELINE</w:t>
      </w:r>
    </w:p>
    <w:p>
      <w:r>
        <w:rPr>
          <w:b w:val="0"/>
          <w:sz w:val="18"/>
        </w:rPr>
        <w:t>This policy is processed through the Byzantium AutoClaims AI pipeline:</w:t>
      </w:r>
    </w:p>
    <w:p/>
    <w:p>
      <w:r>
        <w:rPr>
          <w:b/>
          <w:color w:val="1A56DB"/>
          <w:sz w:val="18"/>
        </w:rPr>
        <w:t xml:space="preserve">Nosana GPU: </w:t>
      </w:r>
      <w:r>
        <w:rPr>
          <w:sz w:val="18"/>
        </w:rPr>
        <w:t>Decentralized GPU compute — CLIP-ViT-B/32 frame analysis, collision signal detection, footage integrity verification</w:t>
      </w:r>
    </w:p>
    <w:p>
      <w:r>
        <w:rPr>
          <w:b/>
          <w:color w:val="1A56DB"/>
          <w:sz w:val="18"/>
        </w:rPr>
        <w:t xml:space="preserve">VideoDB: </w:t>
      </w:r>
      <w:r>
        <w:rPr>
          <w:sz w:val="18"/>
        </w:rPr>
        <w:t>Dashcam video indexing — shot-based scene extraction, spoken word audio indexing, collision clip generation</w:t>
      </w:r>
    </w:p>
    <w:p>
      <w:r>
        <w:rPr>
          <w:b/>
          <w:color w:val="1A56DB"/>
          <w:sz w:val="18"/>
        </w:rPr>
        <w:t xml:space="preserve">Terminal 3: </w:t>
      </w:r>
      <w:r>
        <w:rPr>
          <w:sz w:val="18"/>
        </w:rPr>
        <w:t>TEE-based claimant identity attestation (DID: did:t3n:16d34b1887e89257702b597ef585298db72cad82)</w:t>
      </w:r>
    </w:p>
    <w:p>
      <w:r>
        <w:rPr>
          <w:b/>
          <w:color w:val="1A56DB"/>
          <w:sz w:val="18"/>
        </w:rPr>
        <w:t xml:space="preserve">SingPass MyInfo: </w:t>
      </w:r>
      <w:r>
        <w:rPr>
          <w:sz w:val="18"/>
        </w:rPr>
        <w:t>Government-verified vehicle ownership, driving licence status, demerit points (NRIC: S9812381D)</w:t>
      </w:r>
    </w:p>
    <w:p>
      <w:r>
        <w:rPr>
          <w:b/>
          <w:color w:val="1A56DB"/>
          <w:sz w:val="18"/>
        </w:rPr>
        <w:t xml:space="preserve">SenseNova U1: </w:t>
      </w:r>
      <w:r>
        <w:rPr>
          <w:sz w:val="18"/>
        </w:rPr>
        <w:t>Multimodal policy document ingestion — extracts coverage terms from PDF/PPTX for Kimi reasoning</w:t>
      </w:r>
    </w:p>
    <w:p>
      <w:r>
        <w:rPr>
          <w:b/>
          <w:color w:val="1A56DB"/>
          <w:sz w:val="18"/>
        </w:rPr>
        <w:t xml:space="preserve">Kimi AI: </w:t>
      </w:r>
      <w:r>
        <w:rPr>
          <w:sz w:val="18"/>
        </w:rPr>
        <w:t>AI claims officer — cross-references all evidence against this policy document to make APPROVE/REJECT/REVIEW</w:t>
      </w:r>
    </w:p>
    <w:p>
      <w:r>
        <w:rPr>
          <w:b/>
          <w:color w:val="1A56DB"/>
          <w:sz w:val="18"/>
        </w:rPr>
        <w:t xml:space="preserve">Daytona: </w:t>
      </w:r>
      <w:r>
        <w:rPr>
          <w:sz w:val="18"/>
        </w:rPr>
        <w:t>Secure ClaimAgent sandbox — enforces hard policy exclusions, soft factor scoring, and fraud detection rules</w:t>
      </w:r>
    </w:p>
    <w:p/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88888"/>
          <w:sz w:val="16"/>
        </w:rPr>
        <w:t>Byzantium Insurance Pte. Ltd.  ·  UEN: 202400001Z  ·  MAS-Licensed General Insurer  ·  policies@byzantium.sg</w:t>
      </w:r>
    </w:p>
    <w:p>
      <w:pPr>
        <w:jc w:val="center"/>
      </w:pPr>
      <w:r>
        <w:rPr>
          <w:i/>
          <w:color w:val="AAAAAA"/>
          <w:sz w:val="14"/>
        </w:rPr>
        <w:t>Policy generated: 13 June 2026  ·  This is a digitally processed document. Verify authenticity at claims.byzantium.sg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