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E1F9D" w14:textId="33F6F276" w:rsidR="001E4B10" w:rsidRDefault="001E4B10" w:rsidP="001E4B10">
      <w:pPr>
        <w:jc w:val="center"/>
        <w:rPr>
          <w:rFonts w:ascii="Bradley Hand ITC" w:hAnsi="Bradley Hand ITC"/>
          <w:b/>
          <w:bCs/>
          <w:sz w:val="32"/>
          <w:szCs w:val="32"/>
        </w:rPr>
      </w:pPr>
      <w:r w:rsidRPr="001E4B10">
        <w:rPr>
          <w:rFonts w:ascii="Bradley Hand ITC" w:hAnsi="Bradley Hand ITC"/>
          <w:b/>
          <w:bCs/>
          <w:sz w:val="32"/>
          <w:szCs w:val="32"/>
        </w:rPr>
        <w:t>Azure ETL PipeLine</w:t>
      </w:r>
    </w:p>
    <w:p w14:paraId="51E2C4D6" w14:textId="080A33B8" w:rsidR="001E4B10" w:rsidRDefault="001E4B10" w:rsidP="001E4B10">
      <w:pPr>
        <w:rPr>
          <w:rFonts w:ascii="Bradley Hand ITC" w:hAnsi="Bradley Hand ITC"/>
          <w:b/>
          <w:bCs/>
          <w:sz w:val="28"/>
          <w:szCs w:val="28"/>
        </w:rPr>
      </w:pPr>
      <w:r>
        <w:rPr>
          <w:rFonts w:ascii="Bradley Hand ITC" w:hAnsi="Bradley Hand ITC"/>
          <w:b/>
          <w:bCs/>
          <w:sz w:val="28"/>
          <w:szCs w:val="28"/>
        </w:rPr>
        <w:t>Steps Involved in the ETL Pipeline Process</w:t>
      </w:r>
    </w:p>
    <w:p w14:paraId="2807AECA" w14:textId="5C60D8E5" w:rsidR="001E4B10" w:rsidRPr="001E4B10" w:rsidRDefault="001E4B10" w:rsidP="001E4B10">
      <w:pPr>
        <w:pStyle w:val="ListParagraph"/>
        <w:numPr>
          <w:ilvl w:val="0"/>
          <w:numId w:val="1"/>
        </w:numPr>
        <w:rPr>
          <w:rFonts w:ascii="Bradley Hand ITC" w:hAnsi="Bradley Hand ITC"/>
          <w:b/>
          <w:bCs/>
          <w:sz w:val="28"/>
          <w:szCs w:val="28"/>
        </w:rPr>
      </w:pPr>
      <w:r w:rsidRPr="001E4B10">
        <w:rPr>
          <w:rFonts w:ascii="Bradley Hand ITC" w:hAnsi="Bradley Hand ITC"/>
          <w:b/>
          <w:bCs/>
          <w:sz w:val="28"/>
          <w:szCs w:val="28"/>
        </w:rPr>
        <w:t>Creating Containers in Blob</w:t>
      </w:r>
    </w:p>
    <w:p w14:paraId="5C9BB44D" w14:textId="3A199DF7" w:rsidR="001E4B10" w:rsidRDefault="001E4B10" w:rsidP="001E4B10">
      <w:pPr>
        <w:pStyle w:val="ListParagraph"/>
        <w:numPr>
          <w:ilvl w:val="0"/>
          <w:numId w:val="2"/>
        </w:numPr>
        <w:rPr>
          <w:rFonts w:ascii="Bradley Hand ITC" w:hAnsi="Bradley Hand ITC"/>
          <w:b/>
          <w:bCs/>
          <w:sz w:val="28"/>
          <w:szCs w:val="28"/>
        </w:rPr>
      </w:pPr>
      <w:r>
        <w:rPr>
          <w:rFonts w:ascii="Bradley Hand ITC" w:hAnsi="Bradley Hand ITC"/>
          <w:b/>
          <w:bCs/>
          <w:sz w:val="28"/>
          <w:szCs w:val="28"/>
        </w:rPr>
        <w:t>Raw Datasets (assessment)</w:t>
      </w:r>
    </w:p>
    <w:p w14:paraId="0E3593A7" w14:textId="2764D5D9" w:rsidR="001E4B10" w:rsidRDefault="001E4B10" w:rsidP="001E4B10">
      <w:pPr>
        <w:pStyle w:val="ListParagraph"/>
        <w:numPr>
          <w:ilvl w:val="0"/>
          <w:numId w:val="2"/>
        </w:numPr>
        <w:rPr>
          <w:rFonts w:ascii="Bradley Hand ITC" w:hAnsi="Bradley Hand ITC"/>
          <w:b/>
          <w:bCs/>
          <w:sz w:val="28"/>
          <w:szCs w:val="28"/>
        </w:rPr>
      </w:pPr>
      <w:r>
        <w:rPr>
          <w:rFonts w:ascii="Bradley Hand ITC" w:hAnsi="Bradley Hand ITC"/>
          <w:b/>
          <w:bCs/>
          <w:sz w:val="28"/>
          <w:szCs w:val="28"/>
        </w:rPr>
        <w:t>Staging Layer (Transformed Staging Data)</w:t>
      </w:r>
    </w:p>
    <w:p w14:paraId="0101FB29" w14:textId="53F3C1E1" w:rsidR="001E4B10" w:rsidRDefault="001E4B10" w:rsidP="001E4B10">
      <w:pPr>
        <w:rPr>
          <w:rFonts w:ascii="Bradley Hand ITC" w:hAnsi="Bradley Hand ITC"/>
          <w:b/>
          <w:bCs/>
          <w:sz w:val="28"/>
          <w:szCs w:val="28"/>
        </w:rPr>
      </w:pPr>
      <w:r w:rsidRPr="001E4B10">
        <w:rPr>
          <w:rFonts w:ascii="Bradley Hand ITC" w:hAnsi="Bradley Hand ITC"/>
          <w:b/>
          <w:bCs/>
          <w:sz w:val="28"/>
          <w:szCs w:val="28"/>
        </w:rPr>
        <w:drawing>
          <wp:inline distT="0" distB="0" distL="0" distR="0" wp14:anchorId="4961B9F7" wp14:editId="4251419D">
            <wp:extent cx="5731510" cy="3223895"/>
            <wp:effectExtent l="0" t="0" r="2540" b="0"/>
            <wp:docPr id="707945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452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6C2D" w14:textId="4190150C" w:rsidR="001E4B10" w:rsidRDefault="001E4B10" w:rsidP="001E4B10">
      <w:pPr>
        <w:pStyle w:val="ListParagraph"/>
        <w:numPr>
          <w:ilvl w:val="0"/>
          <w:numId w:val="1"/>
        </w:numPr>
        <w:rPr>
          <w:rFonts w:ascii="Bradley Hand ITC" w:hAnsi="Bradley Hand ITC"/>
          <w:b/>
          <w:bCs/>
          <w:sz w:val="28"/>
          <w:szCs w:val="28"/>
        </w:rPr>
      </w:pPr>
      <w:r>
        <w:rPr>
          <w:rFonts w:ascii="Bradley Hand ITC" w:hAnsi="Bradley Hand ITC"/>
          <w:b/>
          <w:bCs/>
          <w:sz w:val="28"/>
          <w:szCs w:val="28"/>
        </w:rPr>
        <w:t>Pulling Data into Azure Data Bricks For Transformation</w:t>
      </w:r>
    </w:p>
    <w:p w14:paraId="2127DBA4" w14:textId="7897AD29" w:rsidR="001E4B10" w:rsidRDefault="001E4B10" w:rsidP="001E4B10">
      <w:pPr>
        <w:rPr>
          <w:rFonts w:ascii="Bradley Hand ITC" w:hAnsi="Bradley Hand ITC"/>
          <w:b/>
          <w:bCs/>
          <w:sz w:val="28"/>
          <w:szCs w:val="28"/>
        </w:rPr>
      </w:pPr>
      <w:r w:rsidRPr="001E4B10">
        <w:rPr>
          <w:rFonts w:ascii="Bradley Hand ITC" w:hAnsi="Bradley Hand ITC"/>
          <w:b/>
          <w:bCs/>
          <w:sz w:val="28"/>
          <w:szCs w:val="28"/>
        </w:rPr>
        <w:drawing>
          <wp:inline distT="0" distB="0" distL="0" distR="0" wp14:anchorId="6DDAFA20" wp14:editId="298C43DA">
            <wp:extent cx="5731510" cy="3223895"/>
            <wp:effectExtent l="0" t="0" r="2540" b="0"/>
            <wp:docPr id="129392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23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89E5" w14:textId="52739020" w:rsidR="001E4B10" w:rsidRDefault="001E4B10" w:rsidP="001E4B10">
      <w:pPr>
        <w:rPr>
          <w:rFonts w:ascii="Bradley Hand ITC" w:hAnsi="Bradley Hand ITC"/>
          <w:b/>
          <w:bCs/>
          <w:sz w:val="24"/>
          <w:szCs w:val="24"/>
        </w:rPr>
      </w:pPr>
      <w:r>
        <w:rPr>
          <w:rFonts w:ascii="Bradley Hand ITC" w:hAnsi="Bradley Hand ITC"/>
          <w:b/>
          <w:bCs/>
          <w:sz w:val="24"/>
          <w:szCs w:val="24"/>
        </w:rPr>
        <w:t xml:space="preserve">           All the Documents and coding are updated in separate files</w:t>
      </w:r>
    </w:p>
    <w:p w14:paraId="0EC9741E" w14:textId="3CD9CABC" w:rsidR="001E4B10" w:rsidRDefault="001E4B10" w:rsidP="001E4B10">
      <w:pPr>
        <w:rPr>
          <w:rFonts w:ascii="Bradley Hand ITC" w:hAnsi="Bradley Hand ITC"/>
          <w:b/>
          <w:bCs/>
          <w:sz w:val="28"/>
          <w:szCs w:val="28"/>
        </w:rPr>
      </w:pPr>
      <w:r w:rsidRPr="001E4B10">
        <w:rPr>
          <w:rFonts w:ascii="Bradley Hand ITC" w:hAnsi="Bradley Hand ITC"/>
          <w:b/>
          <w:bCs/>
          <w:sz w:val="28"/>
          <w:szCs w:val="28"/>
        </w:rPr>
        <w:lastRenderedPageBreak/>
        <w:drawing>
          <wp:inline distT="0" distB="0" distL="0" distR="0" wp14:anchorId="0A436F68" wp14:editId="01140312">
            <wp:extent cx="5731510" cy="3223895"/>
            <wp:effectExtent l="0" t="0" r="2540" b="0"/>
            <wp:docPr id="58393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359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72A6" w14:textId="419F0F65" w:rsidR="001E4B10" w:rsidRDefault="001E4B10" w:rsidP="001E4B10">
      <w:pPr>
        <w:rPr>
          <w:rFonts w:ascii="Bradley Hand ITC" w:hAnsi="Bradley Hand ITC"/>
          <w:b/>
          <w:bCs/>
          <w:sz w:val="24"/>
          <w:szCs w:val="24"/>
        </w:rPr>
      </w:pPr>
      <w:r>
        <w:rPr>
          <w:rFonts w:ascii="Bradley Hand ITC" w:hAnsi="Bradley Hand ITC"/>
          <w:b/>
          <w:bCs/>
          <w:sz w:val="24"/>
          <w:szCs w:val="24"/>
        </w:rPr>
        <w:t xml:space="preserve">               Flow of transformed data into Staging Layer</w:t>
      </w:r>
    </w:p>
    <w:p w14:paraId="3F8FD2C1" w14:textId="1F20F985" w:rsidR="001E4B10" w:rsidRDefault="008A30C1" w:rsidP="001E4B10">
      <w:pPr>
        <w:rPr>
          <w:rFonts w:ascii="Bradley Hand ITC" w:hAnsi="Bradley Hand ITC"/>
          <w:b/>
          <w:bCs/>
          <w:sz w:val="24"/>
          <w:szCs w:val="24"/>
        </w:rPr>
      </w:pPr>
      <w:r>
        <w:rPr>
          <w:rFonts w:ascii="Bradley Hand ITC" w:hAnsi="Bradley Hand ITC"/>
          <w:b/>
          <w:bCs/>
          <w:sz w:val="24"/>
          <w:szCs w:val="24"/>
        </w:rPr>
        <w:t>After testing Each notebook Implementation of Notebooks in ADF pipelines</w:t>
      </w:r>
    </w:p>
    <w:p w14:paraId="5F7E8614" w14:textId="6CE8B31C" w:rsidR="008A30C1" w:rsidRDefault="008A30C1" w:rsidP="001E4B10">
      <w:pPr>
        <w:rPr>
          <w:rFonts w:ascii="Bradley Hand ITC" w:hAnsi="Bradley Hand ITC"/>
          <w:b/>
          <w:bCs/>
          <w:sz w:val="24"/>
          <w:szCs w:val="24"/>
        </w:rPr>
      </w:pPr>
      <w:r w:rsidRPr="008A30C1">
        <w:rPr>
          <w:rFonts w:ascii="Bradley Hand ITC" w:hAnsi="Bradley Hand ITC"/>
          <w:b/>
          <w:bCs/>
          <w:sz w:val="24"/>
          <w:szCs w:val="24"/>
        </w:rPr>
        <w:drawing>
          <wp:inline distT="0" distB="0" distL="0" distR="0" wp14:anchorId="362C290A" wp14:editId="5FD9AFD5">
            <wp:extent cx="5731510" cy="3223895"/>
            <wp:effectExtent l="0" t="0" r="2540" b="0"/>
            <wp:docPr id="201797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70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43DB" w14:textId="2A8F9318" w:rsidR="008A30C1" w:rsidRDefault="00DA2A31" w:rsidP="001E4B10">
      <w:pPr>
        <w:rPr>
          <w:rFonts w:ascii="Bradley Hand ITC" w:hAnsi="Bradley Hand ITC"/>
          <w:b/>
          <w:bCs/>
          <w:sz w:val="24"/>
          <w:szCs w:val="24"/>
        </w:rPr>
      </w:pPr>
      <w:r>
        <w:rPr>
          <w:rFonts w:ascii="Bradley Hand ITC" w:hAnsi="Bradley Hand ITC"/>
          <w:b/>
          <w:bCs/>
          <w:sz w:val="24"/>
          <w:szCs w:val="24"/>
        </w:rPr>
        <w:t xml:space="preserve">Create A Pipeline using </w:t>
      </w:r>
      <w:r w:rsidR="001770E5">
        <w:rPr>
          <w:rFonts w:ascii="Bradley Hand ITC" w:hAnsi="Bradley Hand ITC"/>
          <w:b/>
          <w:bCs/>
          <w:sz w:val="24"/>
          <w:szCs w:val="24"/>
        </w:rPr>
        <w:t>Execute</w:t>
      </w:r>
      <w:r>
        <w:rPr>
          <w:rFonts w:ascii="Bradley Hand ITC" w:hAnsi="Bradley Hand ITC"/>
          <w:b/>
          <w:bCs/>
          <w:sz w:val="24"/>
          <w:szCs w:val="24"/>
        </w:rPr>
        <w:t xml:space="preserve"> Pipeline Activity </w:t>
      </w:r>
    </w:p>
    <w:p w14:paraId="60EC767B" w14:textId="77777777" w:rsidR="001770E5" w:rsidRDefault="001770E5" w:rsidP="001E4B10">
      <w:pPr>
        <w:rPr>
          <w:rFonts w:ascii="Bradley Hand ITC" w:hAnsi="Bradley Hand ITC"/>
          <w:b/>
          <w:bCs/>
          <w:sz w:val="24"/>
          <w:szCs w:val="24"/>
        </w:rPr>
      </w:pPr>
    </w:p>
    <w:p w14:paraId="528FC1DB" w14:textId="77777777" w:rsidR="001770E5" w:rsidRDefault="001770E5" w:rsidP="001E4B10">
      <w:pPr>
        <w:rPr>
          <w:rFonts w:ascii="Bradley Hand ITC" w:hAnsi="Bradley Hand ITC"/>
          <w:b/>
          <w:bCs/>
          <w:sz w:val="24"/>
          <w:szCs w:val="24"/>
        </w:rPr>
      </w:pPr>
    </w:p>
    <w:p w14:paraId="390B7937" w14:textId="77777777" w:rsidR="001770E5" w:rsidRDefault="001770E5" w:rsidP="001E4B10">
      <w:pPr>
        <w:rPr>
          <w:rFonts w:ascii="Bradley Hand ITC" w:hAnsi="Bradley Hand ITC"/>
          <w:b/>
          <w:bCs/>
          <w:sz w:val="24"/>
          <w:szCs w:val="24"/>
        </w:rPr>
      </w:pPr>
    </w:p>
    <w:p w14:paraId="6336989A" w14:textId="77777777" w:rsidR="001770E5" w:rsidRDefault="001770E5" w:rsidP="001E4B10">
      <w:pPr>
        <w:rPr>
          <w:rFonts w:ascii="Bradley Hand ITC" w:hAnsi="Bradley Hand ITC"/>
          <w:b/>
          <w:bCs/>
          <w:sz w:val="24"/>
          <w:szCs w:val="24"/>
        </w:rPr>
      </w:pPr>
    </w:p>
    <w:p w14:paraId="72666384" w14:textId="229E5335" w:rsidR="001770E5" w:rsidRPr="001770E5" w:rsidRDefault="001770E5" w:rsidP="001770E5">
      <w:pPr>
        <w:pStyle w:val="ListParagraph"/>
        <w:numPr>
          <w:ilvl w:val="0"/>
          <w:numId w:val="1"/>
        </w:numPr>
        <w:rPr>
          <w:rFonts w:ascii="Bradley Hand ITC" w:hAnsi="Bradley Hand ITC"/>
          <w:b/>
          <w:bCs/>
          <w:sz w:val="28"/>
          <w:szCs w:val="28"/>
        </w:rPr>
      </w:pPr>
      <w:r w:rsidRPr="001770E5">
        <w:rPr>
          <w:rFonts w:ascii="Bradley Hand ITC" w:hAnsi="Bradley Hand ITC"/>
          <w:b/>
          <w:bCs/>
          <w:sz w:val="28"/>
          <w:szCs w:val="28"/>
        </w:rPr>
        <w:lastRenderedPageBreak/>
        <w:t xml:space="preserve">Creating </w:t>
      </w:r>
      <w:r w:rsidR="004603D7">
        <w:rPr>
          <w:rFonts w:ascii="Bradley Hand ITC" w:hAnsi="Bradley Hand ITC"/>
          <w:b/>
          <w:bCs/>
          <w:sz w:val="28"/>
          <w:szCs w:val="28"/>
        </w:rPr>
        <w:t xml:space="preserve">a </w:t>
      </w:r>
      <w:r w:rsidRPr="001770E5">
        <w:rPr>
          <w:rFonts w:ascii="Bradley Hand ITC" w:hAnsi="Bradley Hand ITC"/>
          <w:b/>
          <w:bCs/>
          <w:sz w:val="28"/>
          <w:szCs w:val="28"/>
        </w:rPr>
        <w:t xml:space="preserve">Pipeline for </w:t>
      </w:r>
      <w:r w:rsidR="004603D7">
        <w:rPr>
          <w:rFonts w:ascii="Bradley Hand ITC" w:hAnsi="Bradley Hand ITC"/>
          <w:b/>
          <w:bCs/>
          <w:sz w:val="28"/>
          <w:szCs w:val="28"/>
        </w:rPr>
        <w:t xml:space="preserve">the </w:t>
      </w:r>
      <w:r w:rsidRPr="001770E5">
        <w:rPr>
          <w:rFonts w:ascii="Bradley Hand ITC" w:hAnsi="Bradley Hand ITC"/>
          <w:b/>
          <w:bCs/>
          <w:sz w:val="28"/>
          <w:szCs w:val="28"/>
        </w:rPr>
        <w:t>Execution of All Notebooks</w:t>
      </w:r>
    </w:p>
    <w:p w14:paraId="6FFB9D97" w14:textId="77B4E948" w:rsidR="00DA2A31" w:rsidRDefault="00DA2A31" w:rsidP="001E4B10">
      <w:pPr>
        <w:rPr>
          <w:rFonts w:ascii="Bradley Hand ITC" w:hAnsi="Bradley Hand ITC"/>
          <w:b/>
          <w:bCs/>
          <w:sz w:val="24"/>
          <w:szCs w:val="24"/>
        </w:rPr>
      </w:pPr>
      <w:r w:rsidRPr="00DA2A31">
        <w:rPr>
          <w:rFonts w:ascii="Bradley Hand ITC" w:hAnsi="Bradley Hand ITC"/>
          <w:b/>
          <w:bCs/>
          <w:sz w:val="24"/>
          <w:szCs w:val="24"/>
        </w:rPr>
        <w:drawing>
          <wp:inline distT="0" distB="0" distL="0" distR="0" wp14:anchorId="7102173D" wp14:editId="4575DEE3">
            <wp:extent cx="5731510" cy="3223895"/>
            <wp:effectExtent l="0" t="0" r="2540" b="0"/>
            <wp:docPr id="78186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648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F50E" w14:textId="77777777" w:rsidR="00DA2A31" w:rsidRDefault="00DA2A31" w:rsidP="00DA2A31">
      <w:pPr>
        <w:rPr>
          <w:rFonts w:ascii="Bradley Hand ITC" w:hAnsi="Bradley Hand ITC"/>
          <w:b/>
          <w:bCs/>
          <w:sz w:val="24"/>
          <w:szCs w:val="24"/>
        </w:rPr>
      </w:pPr>
      <w:r>
        <w:rPr>
          <w:rFonts w:ascii="Bradley Hand ITC" w:hAnsi="Bradley Hand ITC"/>
          <w:b/>
          <w:bCs/>
          <w:sz w:val="24"/>
          <w:szCs w:val="24"/>
        </w:rPr>
        <w:t>Once the Staging is Done, Create A copy activity to push data into AZURE SQL Database</w:t>
      </w:r>
    </w:p>
    <w:p w14:paraId="6CE22EFE" w14:textId="64A3D011" w:rsidR="001770E5" w:rsidRPr="001770E5" w:rsidRDefault="001770E5" w:rsidP="001770E5">
      <w:pPr>
        <w:pStyle w:val="ListParagraph"/>
        <w:numPr>
          <w:ilvl w:val="0"/>
          <w:numId w:val="1"/>
        </w:numPr>
        <w:rPr>
          <w:rFonts w:ascii="Bradley Hand ITC" w:hAnsi="Bradley Hand ITC"/>
          <w:b/>
          <w:bCs/>
          <w:sz w:val="28"/>
          <w:szCs w:val="28"/>
        </w:rPr>
      </w:pPr>
      <w:r w:rsidRPr="001770E5">
        <w:rPr>
          <w:rFonts w:ascii="Bradley Hand ITC" w:hAnsi="Bradley Hand ITC"/>
          <w:b/>
          <w:bCs/>
          <w:sz w:val="28"/>
          <w:szCs w:val="28"/>
        </w:rPr>
        <w:t>Creating a Pipeline for Moving Staging Data to Target Table</w:t>
      </w:r>
    </w:p>
    <w:p w14:paraId="4BDDF1AE" w14:textId="1BE878FE" w:rsidR="00DA2A31" w:rsidRDefault="00DA2A31" w:rsidP="001E4B10">
      <w:pPr>
        <w:rPr>
          <w:rFonts w:ascii="Bradley Hand ITC" w:hAnsi="Bradley Hand ITC"/>
          <w:b/>
          <w:bCs/>
          <w:sz w:val="24"/>
          <w:szCs w:val="24"/>
        </w:rPr>
      </w:pPr>
      <w:r w:rsidRPr="00DA2A31">
        <w:rPr>
          <w:rFonts w:ascii="Bradley Hand ITC" w:hAnsi="Bradley Hand ITC"/>
          <w:b/>
          <w:bCs/>
          <w:sz w:val="24"/>
          <w:szCs w:val="24"/>
        </w:rPr>
        <w:drawing>
          <wp:inline distT="0" distB="0" distL="0" distR="0" wp14:anchorId="40767A18" wp14:editId="34542EF8">
            <wp:extent cx="5731510" cy="3223895"/>
            <wp:effectExtent l="0" t="0" r="2540" b="0"/>
            <wp:docPr id="53619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947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6670" w14:textId="35198A29" w:rsidR="00DA2A31" w:rsidRPr="001E4B10" w:rsidRDefault="00DA2A31" w:rsidP="001E4B10">
      <w:pPr>
        <w:rPr>
          <w:rFonts w:ascii="Bradley Hand ITC" w:hAnsi="Bradley Hand ITC"/>
          <w:b/>
          <w:bCs/>
          <w:sz w:val="24"/>
          <w:szCs w:val="24"/>
        </w:rPr>
      </w:pPr>
      <w:r>
        <w:rPr>
          <w:rFonts w:ascii="Bradley Hand ITC" w:hAnsi="Bradley Hand ITC"/>
          <w:b/>
          <w:bCs/>
          <w:sz w:val="24"/>
          <w:szCs w:val="24"/>
        </w:rPr>
        <w:t>On Triggering this All the File in the Staging is Moved into the ASQL Database</w:t>
      </w:r>
    </w:p>
    <w:p w14:paraId="1E965E07" w14:textId="764B969E" w:rsidR="00F529C1" w:rsidRDefault="00793D44">
      <w:r w:rsidRPr="00793D44">
        <w:rPr>
          <w:noProof/>
        </w:rPr>
        <w:lastRenderedPageBreak/>
        <w:drawing>
          <wp:inline distT="0" distB="0" distL="0" distR="0" wp14:anchorId="1A11DA0F" wp14:editId="0DA5BA73">
            <wp:extent cx="5731510" cy="3238500"/>
            <wp:effectExtent l="0" t="0" r="2540" b="0"/>
            <wp:docPr id="172401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139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4DBD" w14:textId="1057145D" w:rsidR="00DA2A31" w:rsidRDefault="00DA2A31" w:rsidP="00DA2A31">
      <w:pPr>
        <w:rPr>
          <w:rFonts w:ascii="Bradley Hand ITC" w:hAnsi="Bradley Hand ITC"/>
          <w:b/>
          <w:bCs/>
          <w:sz w:val="24"/>
          <w:szCs w:val="24"/>
        </w:rPr>
      </w:pPr>
      <w:r w:rsidRPr="00DA2A31">
        <w:rPr>
          <w:rFonts w:ascii="Bradley Hand ITC" w:hAnsi="Bradley Hand ITC"/>
          <w:b/>
          <w:bCs/>
          <w:sz w:val="24"/>
          <w:szCs w:val="24"/>
        </w:rPr>
        <w:drawing>
          <wp:inline distT="0" distB="0" distL="0" distR="0" wp14:anchorId="5429E8FA" wp14:editId="3AD0201E">
            <wp:extent cx="5731510" cy="3223895"/>
            <wp:effectExtent l="0" t="0" r="2540" b="0"/>
            <wp:docPr id="213253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30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radley Hand ITC" w:hAnsi="Bradley Hand ITC"/>
          <w:b/>
          <w:bCs/>
          <w:sz w:val="24"/>
          <w:szCs w:val="24"/>
        </w:rPr>
        <w:t xml:space="preserve">So Now Every Data is Ready for Analytical </w:t>
      </w:r>
      <w:r w:rsidR="001770E5">
        <w:rPr>
          <w:rFonts w:ascii="Bradley Hand ITC" w:hAnsi="Bradley Hand ITC"/>
          <w:b/>
          <w:bCs/>
          <w:sz w:val="24"/>
          <w:szCs w:val="24"/>
        </w:rPr>
        <w:t>Purposes or Querying</w:t>
      </w:r>
      <w:r>
        <w:rPr>
          <w:rFonts w:ascii="Bradley Hand ITC" w:hAnsi="Bradley Hand ITC"/>
          <w:b/>
          <w:bCs/>
          <w:sz w:val="24"/>
          <w:szCs w:val="24"/>
        </w:rPr>
        <w:t>.</w:t>
      </w:r>
    </w:p>
    <w:p w14:paraId="7100DDE4" w14:textId="63D565AD" w:rsidR="001770E5" w:rsidRDefault="001770E5" w:rsidP="001770E5">
      <w:pPr>
        <w:pStyle w:val="ListParagraph"/>
        <w:numPr>
          <w:ilvl w:val="0"/>
          <w:numId w:val="1"/>
        </w:numPr>
        <w:rPr>
          <w:rFonts w:ascii="Bradley Hand ITC" w:hAnsi="Bradley Hand ITC"/>
          <w:b/>
          <w:bCs/>
          <w:sz w:val="28"/>
          <w:szCs w:val="28"/>
        </w:rPr>
      </w:pPr>
      <w:r w:rsidRPr="001770E5">
        <w:rPr>
          <w:rFonts w:ascii="Bradley Hand ITC" w:hAnsi="Bradley Hand ITC"/>
          <w:b/>
          <w:bCs/>
          <w:sz w:val="28"/>
          <w:szCs w:val="28"/>
        </w:rPr>
        <w:t>Finally Create a Delta Table in Azure DataBricks for performing Advanced Analytics like ML, AI, etc..</w:t>
      </w:r>
    </w:p>
    <w:p w14:paraId="5C94CBCF" w14:textId="5E1F73AA" w:rsidR="001770E5" w:rsidRDefault="001770E5" w:rsidP="001770E5">
      <w:pPr>
        <w:rPr>
          <w:rFonts w:ascii="Bradley Hand ITC" w:hAnsi="Bradley Hand ITC"/>
          <w:b/>
          <w:bCs/>
          <w:sz w:val="28"/>
          <w:szCs w:val="28"/>
        </w:rPr>
      </w:pPr>
      <w:r w:rsidRPr="001770E5">
        <w:rPr>
          <w:rFonts w:ascii="Bradley Hand ITC" w:hAnsi="Bradley Hand ITC"/>
          <w:b/>
          <w:bCs/>
          <w:sz w:val="28"/>
          <w:szCs w:val="28"/>
        </w:rPr>
        <w:lastRenderedPageBreak/>
        <w:drawing>
          <wp:inline distT="0" distB="0" distL="0" distR="0" wp14:anchorId="77A51772" wp14:editId="1D0F3F1D">
            <wp:extent cx="5731510" cy="3223895"/>
            <wp:effectExtent l="0" t="0" r="2540" b="0"/>
            <wp:docPr id="142015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531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E29A" w14:textId="675B19D7" w:rsidR="001770E5" w:rsidRDefault="001770E5" w:rsidP="00DA2A31">
      <w:pPr>
        <w:rPr>
          <w:rFonts w:ascii="Bradley Hand ITC" w:hAnsi="Bradley Hand ITC"/>
          <w:b/>
          <w:bCs/>
          <w:sz w:val="28"/>
          <w:szCs w:val="28"/>
        </w:rPr>
      </w:pPr>
      <w:r w:rsidRPr="001770E5">
        <w:rPr>
          <w:rFonts w:ascii="Bradley Hand ITC" w:hAnsi="Bradley Hand ITC"/>
          <w:b/>
          <w:bCs/>
          <w:sz w:val="28"/>
          <w:szCs w:val="28"/>
        </w:rPr>
        <w:drawing>
          <wp:inline distT="0" distB="0" distL="0" distR="0" wp14:anchorId="4DA329C9" wp14:editId="7CFE28C4">
            <wp:extent cx="5731510" cy="3223895"/>
            <wp:effectExtent l="0" t="0" r="2540" b="0"/>
            <wp:docPr id="28493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346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BE57" w14:textId="399F6A95" w:rsidR="001770E5" w:rsidRDefault="001770E5" w:rsidP="00DA2A31">
      <w:pPr>
        <w:rPr>
          <w:rFonts w:ascii="Bradley Hand ITC" w:hAnsi="Bradley Hand ITC"/>
          <w:b/>
          <w:bCs/>
          <w:sz w:val="28"/>
          <w:szCs w:val="28"/>
        </w:rPr>
      </w:pPr>
      <w:r>
        <w:rPr>
          <w:rFonts w:ascii="Bradley Hand ITC" w:hAnsi="Bradley Hand ITC"/>
          <w:b/>
          <w:bCs/>
          <w:sz w:val="28"/>
          <w:szCs w:val="28"/>
        </w:rPr>
        <w:t xml:space="preserve">Now You Can See Delta Tables in the Data Bricks </w:t>
      </w:r>
    </w:p>
    <w:p w14:paraId="35B1A7A7" w14:textId="39797681" w:rsidR="001770E5" w:rsidRPr="001770E5" w:rsidRDefault="001770E5" w:rsidP="00DA2A31">
      <w:pPr>
        <w:rPr>
          <w:rFonts w:ascii="Bradley Hand ITC" w:hAnsi="Bradley Hand ITC"/>
          <w:b/>
          <w:bCs/>
          <w:sz w:val="28"/>
          <w:szCs w:val="28"/>
        </w:rPr>
      </w:pPr>
      <w:r w:rsidRPr="001770E5">
        <w:rPr>
          <w:rFonts w:ascii="Bradley Hand ITC" w:hAnsi="Bradley Hand ITC"/>
          <w:b/>
          <w:bCs/>
          <w:sz w:val="28"/>
          <w:szCs w:val="28"/>
        </w:rPr>
        <w:lastRenderedPageBreak/>
        <w:drawing>
          <wp:inline distT="0" distB="0" distL="0" distR="0" wp14:anchorId="03C40C42" wp14:editId="3D3A0D96">
            <wp:extent cx="5731510" cy="3223895"/>
            <wp:effectExtent l="0" t="0" r="2540" b="0"/>
            <wp:docPr id="99505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556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F01B" w14:textId="77777777" w:rsidR="00DA2A31" w:rsidRDefault="00DA2A31"/>
    <w:sectPr w:rsidR="00DA2A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244FB"/>
    <w:multiLevelType w:val="hybridMultilevel"/>
    <w:tmpl w:val="E368B9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711501"/>
    <w:multiLevelType w:val="hybridMultilevel"/>
    <w:tmpl w:val="E9ECC188"/>
    <w:lvl w:ilvl="0" w:tplc="E75C5E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68606604">
    <w:abstractNumId w:val="0"/>
  </w:num>
  <w:num w:numId="2" w16cid:durableId="13621233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D44"/>
    <w:rsid w:val="001770E5"/>
    <w:rsid w:val="001E4B10"/>
    <w:rsid w:val="004603D7"/>
    <w:rsid w:val="00793D44"/>
    <w:rsid w:val="008A30C1"/>
    <w:rsid w:val="00DA2A31"/>
    <w:rsid w:val="00EB2418"/>
    <w:rsid w:val="00F52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9166F0"/>
  <w15:chartTrackingRefBased/>
  <w15:docId w15:val="{5FDC9763-38A6-4A22-8366-AF50D1D2C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4B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6</Pages>
  <Words>162</Words>
  <Characters>824</Characters>
  <Application>Microsoft Office Word</Application>
  <DocSecurity>0</DocSecurity>
  <Lines>35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Nischith  Nirmalraj G S</dc:creator>
  <cp:keywords/>
  <dc:description/>
  <cp:lastModifiedBy>Nischith  Nirmalraj G S</cp:lastModifiedBy>
  <cp:revision>6</cp:revision>
  <dcterms:created xsi:type="dcterms:W3CDTF">2024-04-19T18:27:00Z</dcterms:created>
  <dcterms:modified xsi:type="dcterms:W3CDTF">2024-04-20T04:34:00Z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34b06421-5c3b-420f-a8b6-b080de0440fb</vt:lpwstr>
  </property>
</Properties>
</file>