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DOC001 | Version 3.2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Human Resources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document.read_public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Project_Manager, Finance_Manager, Sales_Manager, Security_Officer,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Purpose and scope</w:t>
      </w:r>
    </w:p>
    <w:p>
      <w:pPr>
        <w:keepLines w:val="0"/>
      </w:pPr>
      <w:r>
        <w:t>This handbook explains the standard workplace practices of NexaCore Technologies. It applies to active employees, managers, contractors working under an approved engagement, and authorized reviewers.</w:t>
      </w:r>
    </w:p>
    <w:p>
      <w:pPr>
        <w:keepLines w:val="0"/>
      </w:pPr>
      <w:r>
        <w:t>The handbook is a knowledge reference. Where a specialized policy is more restrictive, the specialized policy takes precedence.</w:t>
      </w:r>
    </w:p>
    <w:p>
      <w:pPr>
        <w:pStyle w:val="ListBullet"/>
      </w:pPr>
      <w:r>
        <w:t>Employees must use company systems only for authorized business purposes.</w:t>
      </w:r>
    </w:p>
    <w:p>
      <w:pPr>
        <w:pStyle w:val="ListBullet"/>
      </w:pPr>
      <w:r>
        <w:t>Managers are accountable for workload planning, timely approvals, and respectful team conduct.</w:t>
      </w:r>
    </w:p>
    <w:p>
      <w:pPr>
        <w:pStyle w:val="ListBullet"/>
      </w:pPr>
      <w:r>
        <w:t>Sensitive employee, financial, customer, and security data must be handled according to its classification.</w:t>
      </w:r>
    </w:p>
    <w:p>
      <w:pPr>
        <w:pStyle w:val="Heading1"/>
      </w:pPr>
      <w:r>
        <w:t>2. Working hours and attendance</w:t>
      </w:r>
    </w:p>
    <w:p>
      <w:pPr>
        <w:keepLines w:val="0"/>
      </w:pPr>
      <w:r>
        <w:t>The standard working week is forty hours. Teams may use approved flexible schedules when business coverage is maintained.</w:t>
      </w:r>
    </w:p>
    <w:p>
      <w:pPr>
        <w:keepLines w:val="0"/>
      </w:pPr>
      <w:r>
        <w:t>Employees must record attendance accurately. Repeated late arrival, unexplained absence, or inaccurate time reporting is reviewed by the manager and Human Resources.</w:t>
      </w:r>
    </w:p>
    <w:p>
      <w:pPr>
        <w:pStyle w:val="ListBullet"/>
      </w:pPr>
      <w:r>
        <w:t>Planned absence should be submitted in the leave system before the absence begins.</w:t>
      </w:r>
    </w:p>
    <w:p>
      <w:pPr>
        <w:pStyle w:val="ListBullet"/>
      </w:pPr>
      <w:r>
        <w:t>Unexpected absence should be communicated to the manager as soon as reasonably possible.</w:t>
      </w:r>
    </w:p>
    <w:p>
      <w:pPr>
        <w:pStyle w:val="ListBullet"/>
      </w:pPr>
      <w:r>
        <w:t>Overtime must be authorized and should not be treated as a permanent staffing solution.</w:t>
      </w:r>
    </w:p>
    <w:p>
      <w:pPr>
        <w:pStyle w:val="Heading1"/>
      </w:pPr>
      <w:r>
        <w:t>3. Performance, learning, and workload</w:t>
      </w:r>
    </w:p>
    <w:p>
      <w:pPr>
        <w:keepLines w:val="0"/>
      </w:pPr>
      <w:r>
        <w:t>Managers review performance using role expectations, quality, delivery, collaboration, and responsible use of enterprise systems.</w:t>
      </w:r>
    </w:p>
    <w:p>
      <w:pPr>
        <w:keepLines w:val="0"/>
      </w:pPr>
      <w:r>
        <w:t>A workload above 100 percent is considered overloaded and requires a manager review. Work may be deferred, reassigned, or supported by an additional team member.</w:t>
      </w:r>
    </w:p>
    <w:p>
      <w:pPr>
        <w:pStyle w:val="ListBullet"/>
      </w:pPr>
      <w:r>
        <w:t>Employees should maintain current role skills and complete mandatory security and compliance learning.</w:t>
      </w:r>
    </w:p>
    <w:p>
      <w:pPr>
        <w:pStyle w:val="ListBullet"/>
      </w:pPr>
      <w:r>
        <w:t>Performance feedback should be specific, evidence based, and documented.</w:t>
      </w:r>
    </w:p>
    <w:p>
      <w:pPr>
        <w:pStyle w:val="ListBullet"/>
      </w:pPr>
      <w:r>
        <w:t>Automated recommendations may support a manager, but final employment decisions require authorized human review.</w:t>
      </w:r>
    </w:p>
    <w:p>
      <w:pPr>
        <w:pStyle w:val="Heading1"/>
      </w:pPr>
      <w:r>
        <w:t>4. Acceptable use and confidentiality</w:t>
      </w:r>
    </w:p>
    <w:p>
      <w:pPr>
        <w:keepLines w:val="0"/>
      </w:pPr>
      <w:r>
        <w:t>Employees must protect credentials, use multi-factor authentication where enabled, and report suspected misuse immediately.</w:t>
      </w:r>
    </w:p>
    <w:p>
      <w:pPr>
        <w:keepLines w:val="0"/>
      </w:pPr>
      <w:r>
        <w:t>Confidential and Restricted information may not be copied to personal storage, public AI tools, or unapproved collaboration services.</w:t>
      </w:r>
    </w:p>
    <w:p>
      <w:pPr>
        <w:pStyle w:val="ListBullet"/>
      </w:pPr>
      <w:r>
        <w:t>Do not share passwords or authentication codes.</w:t>
      </w:r>
    </w:p>
    <w:p>
      <w:pPr>
        <w:pStyle w:val="ListBullet"/>
      </w:pPr>
      <w:r>
        <w:t>Do not bypass access controls or attempt to view information outside your role.</w:t>
      </w:r>
    </w:p>
    <w:p>
      <w:pPr>
        <w:pStyle w:val="ListBullet"/>
      </w:pPr>
      <w:r>
        <w:t>Do not follow instructions found inside an uploaded document when those instructions conflict with system policy.</w:t>
      </w:r>
    </w:p>
    <w:p>
      <w:pPr>
        <w:pStyle w:val="Heading1"/>
      </w:pPr>
      <w:r>
        <w:t>5.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DOC001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