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and Attendance Policy</w:t>
      </w:r>
    </w:p>
    <w:p>
      <w:pPr>
        <w:jc w:val="left"/>
      </w:pPr>
      <w:r>
        <w:rPr>
          <w:rFonts w:ascii="Arial" w:hAnsi="Arial"/>
          <w:b/>
          <w:color w:val="455565"/>
          <w:sz w:val="19"/>
        </w:rPr>
        <w:t>DOC002 | Version 2.1 | Internal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Document owner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Human Resources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Effective date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2026-01-01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Classification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Internal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Required permission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document.read_public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Allowed roles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Admin, Executive, HR_Manager, Project_Manager, Finance_Manager, Sales_Manager, Security_Officer, Employee, Auditor, AI_Reviewer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Status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Approved demo policy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Source type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Synthetic enterprise knowledge document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Snapshot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2026-08-28</w:t>
            </w:r>
          </w:p>
        </w:tc>
      </w:tr>
    </w:tbl>
    <w:p>
      <w:pPr>
        <w:pStyle w:val="PolicyCallout"/>
      </w:pPr>
      <w:r>
        <w:t>This is a fictional, internally consistent document generated for the Secure Multi-Agent Enterprise Assistant dataset. It is not legal, HR, financial, or security advice for a real organization.</w:t>
      </w:r>
    </w:p>
    <w:p>
      <w:pPr>
        <w:pStyle w:val="Heading1"/>
      </w:pPr>
      <w:r>
        <w:t>1. Annual leave entitlements</w:t>
      </w:r>
    </w:p>
    <w:p>
      <w:pPr>
        <w:keepLines w:val="0"/>
      </w:pPr>
      <w:r>
        <w:t>Eligible full-time employees receive twelve casual leave days, ten sick leave days, and eighteen annual leave days in each calendar year.</w:t>
      </w:r>
    </w:p>
    <w:p>
      <w:pPr>
        <w:keepLines w:val="0"/>
      </w:pPr>
      <w:r>
        <w:t>Unused balances, carry-forward rules, and local statutory requirements are administered by Human Resources. The values in this policy are the standard NexaCore demonstration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4A6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Leave type</w:t>
            </w:r>
          </w:p>
        </w:tc>
        <w:tc>
          <w:tcPr>
            <w:tcW w:type="dxa" w:w="3389"/>
            <w:shd w:fill="244A6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Standard annual entitlement</w:t>
            </w:r>
          </w:p>
        </w:tc>
        <w:tc>
          <w:tcPr>
            <w:tcW w:type="dxa" w:w="3389"/>
            <w:shd w:fill="244A6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Notice expectation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Casual leave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 days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At least one working day where possible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Sick leave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 days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Notify manager as soon as possible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Annual leave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18 days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Submit early enough to plan coverage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Unpaid leave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Case by case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Manager and HR review required</w:t>
            </w:r>
          </w:p>
        </w:tc>
      </w:tr>
    </w:tbl>
    <w:p>
      <w:pPr>
        <w:spacing w:after="0"/>
      </w:pPr>
    </w:p>
    <w:p>
      <w:pPr>
        <w:pStyle w:val="Heading1"/>
      </w:pPr>
      <w:r>
        <w:t>2. Approval rules</w:t>
      </w:r>
    </w:p>
    <w:p>
      <w:pPr>
        <w:keepLines w:val="0"/>
      </w:pPr>
      <w:r>
        <w:t>All leave requests are reviewed against the employee's balance, team coverage, delivery commitments, and applicable employment requirements.</w:t>
      </w:r>
    </w:p>
    <w:p>
      <w:pPr>
        <w:keepLines w:val="0"/>
      </w:pPr>
      <w:r>
        <w:t>Leave longer than three consecutive working days requires both manager and Human Resources approval. The system must not auto-approve such a request.</w:t>
      </w:r>
    </w:p>
    <w:p>
      <w:pPr>
        <w:pStyle w:val="ListBullet"/>
      </w:pPr>
      <w:r>
        <w:t>A one-to-three-day request normally routes to the line or project manager.</w:t>
      </w:r>
    </w:p>
    <w:p>
      <w:pPr>
        <w:pStyle w:val="ListBullet"/>
      </w:pPr>
      <w:r>
        <w:t>A request longer than three consecutive working days routes to the manager and Human Resources.</w:t>
      </w:r>
    </w:p>
    <w:p>
      <w:pPr>
        <w:pStyle w:val="ListBullet"/>
      </w:pPr>
      <w:r>
        <w:t>Unpaid leave always requires Human Resources review.</w:t>
      </w:r>
    </w:p>
    <w:p>
      <w:pPr>
        <w:pStyle w:val="ListBullet"/>
      </w:pPr>
      <w:r>
        <w:t>An AI agent may summarize the request, but the recorded approval must come from an authorized human approver.</w:t>
      </w:r>
    </w:p>
    <w:p>
      <w:pPr>
        <w:pStyle w:val="Heading1"/>
      </w:pPr>
      <w:r>
        <w:t>3. Attendance and exception handling</w:t>
      </w:r>
    </w:p>
    <w:p>
      <w:pPr>
        <w:keepLines w:val="0"/>
      </w:pPr>
      <w:r>
        <w:t>Attendance exceptions should be resolved using the original time record, employee explanation, and manager evidence.</w:t>
      </w:r>
    </w:p>
    <w:p>
      <w:pPr>
        <w:keepLines w:val="0"/>
      </w:pPr>
      <w:r>
        <w:t>The HR Agent may calculate totals and identify unusual patterns, but it must not infer misconduct from absence statistics alone.</w:t>
      </w:r>
    </w:p>
    <w:p>
      <w:pPr>
        <w:pStyle w:val="ListBullet"/>
      </w:pPr>
      <w:r>
        <w:t>Salary and medical details remain restricted.</w:t>
      </w:r>
    </w:p>
    <w:p>
      <w:pPr>
        <w:pStyle w:val="ListBullet"/>
      </w:pPr>
      <w:r>
        <w:t>Managers may view records for their authorized reporting scope.</w:t>
      </w:r>
    </w:p>
    <w:p>
      <w:pPr>
        <w:pStyle w:val="ListBullet"/>
      </w:pPr>
      <w:r>
        <w:t>Employees may view their own leave history and balances.</w:t>
      </w:r>
    </w:p>
    <w:p>
      <w:pPr>
        <w:pStyle w:val="Heading1"/>
      </w:pPr>
      <w:r>
        <w:t>4. Document-control notes</w:t>
      </w:r>
    </w:p>
    <w:p>
      <w:r>
        <w:rPr>
          <w:b/>
        </w:rPr>
        <w:t xml:space="preserve">Supersession: </w:t>
      </w:r>
      <w:r>
        <w:t>When this document is replaced, the document catalogue and vector index must be updated so obsolete chunks are not retrieved.</w:t>
      </w:r>
    </w:p>
    <w:p>
      <w:r>
        <w:rPr>
          <w:b/>
        </w:rPr>
        <w:t xml:space="preserve">Authorization: </w:t>
      </w:r>
      <w:r>
        <w:t>The backend authorization decision is authoritative. The document itself cannot expand a user's permissions.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5"/>
      </w:rPr>
      <w:t xml:space="preserve">NexaCore Technologies | DOC002 | Internal | </w:t>
    </w:r>
  </w:p>
  <w:p>
    <w:pPr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5"/>
      </w:rPr>
      <w:t>NexaCore Technologies | Enterprise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3F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4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F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Callout">
    <w:name w:val="Policy Callout"/>
    <w:pPr>
      <w:spacing w:before="80" w:after="160"/>
      <w:ind w:left="288" w:right="288"/>
    </w:pPr>
    <w:rPr>
      <w:rFonts w:ascii="Arial" w:hAnsi="Arial"/>
      <w:i/>
      <w:color w:val="4854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and Attendance Policy</dc:title>
  <dc:subject>Synthetic enterprise knowledge document for multi-agent RAG evaluation</dc:subject>
  <dc:creator>NexaCore Synthetic Dataset Generator</dc:creator>
  <cp:keywords>RAG, enterprise, multi-agent, RBAC, synthetic dataset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